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510" w:rsidRDefault="00133510" w:rsidP="0047113B">
      <w:pPr>
        <w:rPr>
          <w:rFonts w:ascii="Tahoma" w:hAnsi="Tahoma" w:cs="Tahoma"/>
          <w:b/>
          <w:sz w:val="24"/>
          <w:szCs w:val="24"/>
        </w:rPr>
      </w:pPr>
      <w:bookmarkStart w:id="0" w:name="_GoBack"/>
      <w:bookmarkEnd w:id="0"/>
    </w:p>
    <w:p w:rsidR="007826B5" w:rsidRDefault="007826B5" w:rsidP="00CA7A46">
      <w:pPr>
        <w:jc w:val="center"/>
        <w:rPr>
          <w:rFonts w:ascii="Arial" w:hAnsi="Arial" w:cs="Arial"/>
          <w:b/>
          <w:sz w:val="28"/>
          <w:szCs w:val="28"/>
        </w:rPr>
      </w:pPr>
    </w:p>
    <w:p w:rsidR="007826B5" w:rsidRDefault="007826B5" w:rsidP="00CA7A46">
      <w:pPr>
        <w:jc w:val="center"/>
        <w:rPr>
          <w:rFonts w:ascii="Arial" w:hAnsi="Arial" w:cs="Arial"/>
          <w:b/>
          <w:sz w:val="28"/>
          <w:szCs w:val="28"/>
        </w:rPr>
      </w:pPr>
    </w:p>
    <w:p w:rsidR="00D55A5F" w:rsidRPr="0047113B" w:rsidRDefault="0047113B" w:rsidP="00CA7A46">
      <w:pPr>
        <w:jc w:val="center"/>
        <w:rPr>
          <w:rFonts w:ascii="Arial" w:hAnsi="Arial" w:cs="Arial"/>
          <w:b/>
          <w:sz w:val="48"/>
          <w:szCs w:val="48"/>
        </w:rPr>
      </w:pPr>
      <w:r w:rsidRPr="0047113B">
        <w:rPr>
          <w:rFonts w:ascii="Arial" w:hAnsi="Arial" w:cs="Arial"/>
          <w:b/>
          <w:sz w:val="48"/>
          <w:szCs w:val="48"/>
        </w:rPr>
        <w:t>AGENDA 2063</w:t>
      </w:r>
      <w:r w:rsidR="00D55A5F" w:rsidRPr="0047113B">
        <w:rPr>
          <w:rFonts w:ascii="Arial" w:hAnsi="Arial" w:cs="Arial"/>
          <w:b/>
          <w:sz w:val="48"/>
          <w:szCs w:val="48"/>
        </w:rPr>
        <w:t xml:space="preserve"> IMPLEMETATION </w:t>
      </w:r>
    </w:p>
    <w:p w:rsidR="00D55A5F" w:rsidRDefault="00D55A5F" w:rsidP="00CA7A46">
      <w:pPr>
        <w:jc w:val="center"/>
        <w:rPr>
          <w:rFonts w:ascii="Arial" w:hAnsi="Arial" w:cs="Arial"/>
          <w:b/>
          <w:sz w:val="28"/>
          <w:szCs w:val="28"/>
        </w:rPr>
      </w:pPr>
    </w:p>
    <w:p w:rsidR="0047113B" w:rsidRPr="007826B5" w:rsidRDefault="0047113B" w:rsidP="00CA7A46">
      <w:pPr>
        <w:jc w:val="center"/>
        <w:rPr>
          <w:rFonts w:ascii="Arial" w:hAnsi="Arial" w:cs="Arial"/>
          <w:b/>
          <w:sz w:val="28"/>
          <w:szCs w:val="28"/>
        </w:rPr>
      </w:pPr>
    </w:p>
    <w:p w:rsidR="00D55A5F" w:rsidRPr="007826B5" w:rsidRDefault="00D55A5F" w:rsidP="00CA7A46">
      <w:pPr>
        <w:jc w:val="center"/>
        <w:rPr>
          <w:rFonts w:ascii="Arial" w:hAnsi="Arial" w:cs="Arial"/>
          <w:b/>
          <w:sz w:val="28"/>
          <w:szCs w:val="28"/>
        </w:rPr>
      </w:pPr>
    </w:p>
    <w:p w:rsidR="007826B5" w:rsidRPr="0047113B" w:rsidRDefault="007826B5" w:rsidP="007826B5">
      <w:pPr>
        <w:jc w:val="center"/>
        <w:rPr>
          <w:rFonts w:ascii="Arial" w:hAnsi="Arial" w:cs="Arial"/>
          <w:b/>
          <w:sz w:val="44"/>
          <w:szCs w:val="44"/>
        </w:rPr>
      </w:pPr>
      <w:r w:rsidRPr="0047113B">
        <w:rPr>
          <w:rFonts w:ascii="Arial" w:hAnsi="Arial" w:cs="Arial"/>
          <w:b/>
          <w:sz w:val="44"/>
          <w:szCs w:val="44"/>
        </w:rPr>
        <w:t>BOTSWANA</w:t>
      </w:r>
    </w:p>
    <w:p w:rsidR="00E55A14" w:rsidRPr="0047113B" w:rsidRDefault="00D55A5F" w:rsidP="00CA7A46">
      <w:pPr>
        <w:jc w:val="center"/>
        <w:rPr>
          <w:rFonts w:ascii="Arial" w:hAnsi="Arial" w:cs="Arial"/>
          <w:b/>
          <w:sz w:val="44"/>
          <w:szCs w:val="44"/>
        </w:rPr>
      </w:pPr>
      <w:r w:rsidRPr="0047113B">
        <w:rPr>
          <w:rFonts w:ascii="Arial" w:hAnsi="Arial" w:cs="Arial"/>
          <w:b/>
          <w:sz w:val="44"/>
          <w:szCs w:val="44"/>
        </w:rPr>
        <w:t>COUNTRY REPORT</w:t>
      </w:r>
    </w:p>
    <w:p w:rsidR="00D55A5F" w:rsidRPr="0047113B" w:rsidRDefault="00D55A5F" w:rsidP="00CA7A46">
      <w:pPr>
        <w:jc w:val="center"/>
        <w:rPr>
          <w:rFonts w:ascii="Arial" w:hAnsi="Arial" w:cs="Arial"/>
          <w:b/>
          <w:sz w:val="44"/>
          <w:szCs w:val="44"/>
        </w:rPr>
      </w:pPr>
    </w:p>
    <w:p w:rsidR="00D55A5F" w:rsidRPr="0047113B" w:rsidRDefault="00D55A5F" w:rsidP="00CA7A46">
      <w:pPr>
        <w:jc w:val="center"/>
        <w:rPr>
          <w:rFonts w:ascii="Arial" w:hAnsi="Arial" w:cs="Arial"/>
          <w:b/>
          <w:sz w:val="44"/>
          <w:szCs w:val="44"/>
        </w:rPr>
      </w:pPr>
    </w:p>
    <w:p w:rsidR="00D55A5F" w:rsidRPr="0047113B" w:rsidRDefault="00D55A5F" w:rsidP="00CA7A46">
      <w:pPr>
        <w:jc w:val="center"/>
        <w:rPr>
          <w:rFonts w:ascii="Arial" w:hAnsi="Arial" w:cs="Arial"/>
          <w:b/>
          <w:sz w:val="44"/>
          <w:szCs w:val="44"/>
        </w:rPr>
      </w:pPr>
    </w:p>
    <w:p w:rsidR="00D55A5F" w:rsidRPr="0047113B" w:rsidRDefault="00D55A5F" w:rsidP="00CA7A46">
      <w:pPr>
        <w:jc w:val="center"/>
        <w:rPr>
          <w:rFonts w:ascii="Arial" w:hAnsi="Arial" w:cs="Arial"/>
          <w:b/>
          <w:sz w:val="44"/>
          <w:szCs w:val="44"/>
        </w:rPr>
      </w:pPr>
    </w:p>
    <w:p w:rsidR="00D55A5F" w:rsidRPr="0047113B" w:rsidRDefault="00D55A5F" w:rsidP="00CA7A46">
      <w:pPr>
        <w:jc w:val="center"/>
        <w:rPr>
          <w:rFonts w:ascii="Arial" w:hAnsi="Arial" w:cs="Arial"/>
          <w:b/>
          <w:sz w:val="44"/>
          <w:szCs w:val="44"/>
          <w:u w:val="single"/>
        </w:rPr>
      </w:pPr>
      <w:r w:rsidRPr="0047113B">
        <w:rPr>
          <w:rFonts w:ascii="Arial" w:hAnsi="Arial" w:cs="Arial"/>
          <w:b/>
          <w:sz w:val="44"/>
          <w:szCs w:val="44"/>
          <w:u w:val="single"/>
        </w:rPr>
        <w:t>REPORTING PERIOD 2013-2019</w:t>
      </w:r>
    </w:p>
    <w:p w:rsidR="002C4156" w:rsidRPr="00133510" w:rsidRDefault="00D55A5F" w:rsidP="00133510">
      <w:pPr>
        <w:pStyle w:val="Heading1"/>
        <w:spacing w:line="360" w:lineRule="auto"/>
        <w:rPr>
          <w:rFonts w:ascii="Arial" w:hAnsi="Arial" w:cs="Arial"/>
          <w:b/>
          <w:sz w:val="24"/>
          <w:szCs w:val="24"/>
        </w:rPr>
      </w:pPr>
      <w:r w:rsidRPr="0047113B">
        <w:rPr>
          <w:sz w:val="44"/>
          <w:szCs w:val="44"/>
        </w:rPr>
        <w:br w:type="page"/>
      </w:r>
      <w:r w:rsidR="00133510" w:rsidRPr="00133510">
        <w:rPr>
          <w:rFonts w:ascii="Arial" w:hAnsi="Arial" w:cs="Arial"/>
          <w:b/>
          <w:color w:val="0D0D0D" w:themeColor="text1" w:themeTint="F2"/>
          <w:sz w:val="24"/>
          <w:szCs w:val="24"/>
        </w:rPr>
        <w:lastRenderedPageBreak/>
        <w:t xml:space="preserve">1.0 </w:t>
      </w:r>
      <w:r w:rsidR="00885A10" w:rsidRPr="00133510">
        <w:rPr>
          <w:rFonts w:ascii="Arial" w:hAnsi="Arial" w:cs="Arial"/>
          <w:b/>
          <w:color w:val="0D0D0D" w:themeColor="text1" w:themeTint="F2"/>
          <w:sz w:val="24"/>
          <w:szCs w:val="24"/>
        </w:rPr>
        <w:t>INTRODUCTION</w:t>
      </w:r>
    </w:p>
    <w:p w:rsidR="00041397" w:rsidRPr="00133510" w:rsidRDefault="00885A10" w:rsidP="00133510">
      <w:pPr>
        <w:spacing w:line="360" w:lineRule="auto"/>
        <w:jc w:val="both"/>
        <w:rPr>
          <w:rFonts w:ascii="Arial" w:hAnsi="Arial" w:cs="Arial"/>
          <w:sz w:val="24"/>
          <w:szCs w:val="24"/>
        </w:rPr>
      </w:pPr>
      <w:r w:rsidRPr="00133510">
        <w:rPr>
          <w:rFonts w:ascii="Arial" w:hAnsi="Arial" w:cs="Arial"/>
          <w:sz w:val="24"/>
          <w:szCs w:val="24"/>
        </w:rPr>
        <w:t>Botswana’</w:t>
      </w:r>
      <w:r w:rsidR="0034221D">
        <w:rPr>
          <w:rFonts w:ascii="Arial" w:hAnsi="Arial" w:cs="Arial"/>
          <w:sz w:val="24"/>
          <w:szCs w:val="24"/>
        </w:rPr>
        <w:t xml:space="preserve">s economy rose from being among </w:t>
      </w:r>
      <w:r w:rsidRPr="00133510">
        <w:rPr>
          <w:rFonts w:ascii="Arial" w:hAnsi="Arial" w:cs="Arial"/>
          <w:sz w:val="24"/>
          <w:szCs w:val="24"/>
        </w:rPr>
        <w:t>the poorest</w:t>
      </w:r>
      <w:r w:rsidR="00CA4129">
        <w:rPr>
          <w:rFonts w:ascii="Arial" w:hAnsi="Arial" w:cs="Arial"/>
          <w:sz w:val="24"/>
          <w:szCs w:val="24"/>
        </w:rPr>
        <w:t xml:space="preserve"> countries</w:t>
      </w:r>
      <w:r w:rsidRPr="00133510">
        <w:rPr>
          <w:rFonts w:ascii="Arial" w:hAnsi="Arial" w:cs="Arial"/>
          <w:sz w:val="24"/>
          <w:szCs w:val="24"/>
        </w:rPr>
        <w:t xml:space="preserve"> in the world at independence in 1966</w:t>
      </w:r>
      <w:r w:rsidR="00CA4129">
        <w:rPr>
          <w:rFonts w:ascii="Arial" w:hAnsi="Arial" w:cs="Arial"/>
          <w:sz w:val="24"/>
          <w:szCs w:val="24"/>
        </w:rPr>
        <w:t>,</w:t>
      </w:r>
      <w:r w:rsidRPr="00133510">
        <w:rPr>
          <w:rFonts w:ascii="Arial" w:hAnsi="Arial" w:cs="Arial"/>
          <w:sz w:val="24"/>
          <w:szCs w:val="24"/>
        </w:rPr>
        <w:t xml:space="preserve"> to an upper </w:t>
      </w:r>
      <w:proofErr w:type="gramStart"/>
      <w:r w:rsidRPr="00133510">
        <w:rPr>
          <w:rFonts w:ascii="Arial" w:hAnsi="Arial" w:cs="Arial"/>
          <w:sz w:val="24"/>
          <w:szCs w:val="24"/>
        </w:rPr>
        <w:t>middle income</w:t>
      </w:r>
      <w:proofErr w:type="gramEnd"/>
      <w:r w:rsidRPr="00133510">
        <w:rPr>
          <w:rFonts w:ascii="Arial" w:hAnsi="Arial" w:cs="Arial"/>
          <w:sz w:val="24"/>
          <w:szCs w:val="24"/>
        </w:rPr>
        <w:t xml:space="preserve"> status in the 1990s. </w:t>
      </w:r>
      <w:r w:rsidR="00887F78" w:rsidRPr="00133510">
        <w:rPr>
          <w:rFonts w:ascii="Arial" w:hAnsi="Arial" w:cs="Arial"/>
          <w:sz w:val="24"/>
          <w:szCs w:val="24"/>
        </w:rPr>
        <w:t>This</w:t>
      </w:r>
      <w:r w:rsidRPr="00133510">
        <w:rPr>
          <w:rFonts w:ascii="Arial" w:hAnsi="Arial" w:cs="Arial"/>
          <w:sz w:val="24"/>
          <w:szCs w:val="24"/>
        </w:rPr>
        <w:t xml:space="preserve"> was due to the revenues earned from </w:t>
      </w:r>
      <w:r w:rsidR="00CA4129">
        <w:rPr>
          <w:rFonts w:ascii="Arial" w:hAnsi="Arial" w:cs="Arial"/>
          <w:sz w:val="24"/>
          <w:szCs w:val="24"/>
        </w:rPr>
        <w:t>diamond</w:t>
      </w:r>
      <w:r w:rsidRPr="00133510">
        <w:rPr>
          <w:rFonts w:ascii="Arial" w:hAnsi="Arial" w:cs="Arial"/>
          <w:sz w:val="24"/>
          <w:szCs w:val="24"/>
        </w:rPr>
        <w:t xml:space="preserve"> sales and prudent management</w:t>
      </w:r>
      <w:r w:rsidR="00887F78" w:rsidRPr="00133510">
        <w:rPr>
          <w:rFonts w:ascii="Arial" w:hAnsi="Arial" w:cs="Arial"/>
          <w:sz w:val="24"/>
          <w:szCs w:val="24"/>
        </w:rPr>
        <w:t xml:space="preserve"> </w:t>
      </w:r>
      <w:r w:rsidRPr="00133510">
        <w:rPr>
          <w:rFonts w:ascii="Arial" w:hAnsi="Arial" w:cs="Arial"/>
          <w:sz w:val="24"/>
          <w:szCs w:val="24"/>
        </w:rPr>
        <w:t xml:space="preserve">of </w:t>
      </w:r>
      <w:r w:rsidR="00CA4129">
        <w:rPr>
          <w:rFonts w:ascii="Arial" w:hAnsi="Arial" w:cs="Arial"/>
          <w:sz w:val="24"/>
          <w:szCs w:val="24"/>
        </w:rPr>
        <w:t>resources</w:t>
      </w:r>
      <w:r w:rsidRPr="00133510">
        <w:rPr>
          <w:rFonts w:ascii="Arial" w:hAnsi="Arial" w:cs="Arial"/>
          <w:sz w:val="24"/>
          <w:szCs w:val="24"/>
        </w:rPr>
        <w:t xml:space="preserve"> by the </w:t>
      </w:r>
      <w:r w:rsidR="00CA4129">
        <w:rPr>
          <w:rFonts w:ascii="Arial" w:hAnsi="Arial" w:cs="Arial"/>
          <w:sz w:val="24"/>
          <w:szCs w:val="24"/>
        </w:rPr>
        <w:t>G</w:t>
      </w:r>
      <w:r w:rsidR="00CA4129" w:rsidRPr="00133510">
        <w:rPr>
          <w:rFonts w:ascii="Arial" w:hAnsi="Arial" w:cs="Arial"/>
          <w:sz w:val="24"/>
          <w:szCs w:val="24"/>
        </w:rPr>
        <w:t>overnment</w:t>
      </w:r>
      <w:r w:rsidRPr="00133510">
        <w:rPr>
          <w:rFonts w:ascii="Arial" w:hAnsi="Arial" w:cs="Arial"/>
          <w:sz w:val="24"/>
          <w:szCs w:val="24"/>
        </w:rPr>
        <w:t>.</w:t>
      </w:r>
      <w:r w:rsidR="00887F78" w:rsidRPr="00133510">
        <w:rPr>
          <w:rFonts w:ascii="Arial" w:hAnsi="Arial" w:cs="Arial"/>
          <w:sz w:val="24"/>
          <w:szCs w:val="24"/>
        </w:rPr>
        <w:t xml:space="preserve"> The</w:t>
      </w:r>
      <w:r w:rsidR="00CA4129">
        <w:rPr>
          <w:rFonts w:ascii="Arial" w:hAnsi="Arial" w:cs="Arial"/>
          <w:sz w:val="24"/>
          <w:szCs w:val="24"/>
        </w:rPr>
        <w:t xml:space="preserve"> </w:t>
      </w:r>
      <w:proofErr w:type="gramStart"/>
      <w:r w:rsidR="00CA4129">
        <w:rPr>
          <w:rFonts w:ascii="Arial" w:hAnsi="Arial" w:cs="Arial"/>
          <w:sz w:val="24"/>
          <w:szCs w:val="24"/>
        </w:rPr>
        <w:t>main</w:t>
      </w:r>
      <w:r w:rsidR="00887F78" w:rsidRPr="00133510">
        <w:rPr>
          <w:rFonts w:ascii="Arial" w:hAnsi="Arial" w:cs="Arial"/>
          <w:sz w:val="24"/>
          <w:szCs w:val="24"/>
        </w:rPr>
        <w:t xml:space="preserve"> focus</w:t>
      </w:r>
      <w:proofErr w:type="gramEnd"/>
      <w:r w:rsidR="00887F78" w:rsidRPr="00133510">
        <w:rPr>
          <w:rFonts w:ascii="Arial" w:hAnsi="Arial" w:cs="Arial"/>
          <w:sz w:val="24"/>
          <w:szCs w:val="24"/>
        </w:rPr>
        <w:t xml:space="preserve"> of the country’s development </w:t>
      </w:r>
      <w:r w:rsidR="0034221D">
        <w:rPr>
          <w:rFonts w:ascii="Arial" w:hAnsi="Arial" w:cs="Arial"/>
          <w:sz w:val="24"/>
          <w:szCs w:val="24"/>
        </w:rPr>
        <w:t>for the past five decades</w:t>
      </w:r>
      <w:r w:rsidR="00887F78" w:rsidRPr="00133510">
        <w:rPr>
          <w:rFonts w:ascii="Arial" w:hAnsi="Arial" w:cs="Arial"/>
          <w:sz w:val="24"/>
          <w:szCs w:val="24"/>
        </w:rPr>
        <w:t xml:space="preserve"> centered on promoting </w:t>
      </w:r>
      <w:r w:rsidR="00CA4129">
        <w:rPr>
          <w:rFonts w:ascii="Arial" w:hAnsi="Arial" w:cs="Arial"/>
          <w:sz w:val="24"/>
          <w:szCs w:val="24"/>
        </w:rPr>
        <w:t>the socio</w:t>
      </w:r>
      <w:r w:rsidR="00887F78" w:rsidRPr="00133510">
        <w:rPr>
          <w:rFonts w:ascii="Arial" w:hAnsi="Arial" w:cs="Arial"/>
          <w:sz w:val="24"/>
          <w:szCs w:val="24"/>
        </w:rPr>
        <w:t xml:space="preserve">economic </w:t>
      </w:r>
      <w:r w:rsidR="00CA4129">
        <w:rPr>
          <w:rFonts w:ascii="Arial" w:hAnsi="Arial" w:cs="Arial"/>
          <w:sz w:val="24"/>
          <w:szCs w:val="24"/>
        </w:rPr>
        <w:t>dimension,</w:t>
      </w:r>
      <w:r w:rsidR="00887F78" w:rsidRPr="00133510">
        <w:rPr>
          <w:rFonts w:ascii="Arial" w:hAnsi="Arial" w:cs="Arial"/>
          <w:sz w:val="24"/>
          <w:szCs w:val="24"/>
        </w:rPr>
        <w:t xml:space="preserve"> particularly economic growth and social justice.</w:t>
      </w:r>
      <w:r w:rsidR="00446C7B" w:rsidRPr="00133510">
        <w:rPr>
          <w:rFonts w:ascii="Arial" w:hAnsi="Arial" w:cs="Arial"/>
          <w:sz w:val="24"/>
          <w:szCs w:val="24"/>
        </w:rPr>
        <w:t xml:space="preserve"> These are in line with the </w:t>
      </w:r>
      <w:r w:rsidR="00233D5D" w:rsidRPr="00133510">
        <w:rPr>
          <w:rFonts w:ascii="Arial" w:hAnsi="Arial" w:cs="Arial"/>
          <w:sz w:val="24"/>
          <w:szCs w:val="24"/>
        </w:rPr>
        <w:t xml:space="preserve">aspirations </w:t>
      </w:r>
      <w:r w:rsidR="00446C7B" w:rsidRPr="00133510">
        <w:rPr>
          <w:rFonts w:ascii="Arial" w:hAnsi="Arial" w:cs="Arial"/>
          <w:sz w:val="24"/>
          <w:szCs w:val="24"/>
        </w:rPr>
        <w:t>of Agenda 2063</w:t>
      </w:r>
      <w:r w:rsidR="00CA4129">
        <w:rPr>
          <w:rFonts w:ascii="Arial" w:hAnsi="Arial" w:cs="Arial"/>
          <w:sz w:val="24"/>
          <w:szCs w:val="24"/>
        </w:rPr>
        <w:t>,</w:t>
      </w:r>
      <w:r w:rsidR="00446C7B" w:rsidRPr="00133510">
        <w:rPr>
          <w:rFonts w:ascii="Arial" w:hAnsi="Arial" w:cs="Arial"/>
          <w:sz w:val="24"/>
          <w:szCs w:val="24"/>
        </w:rPr>
        <w:t xml:space="preserve"> “The Africa We Want” </w:t>
      </w:r>
      <w:r w:rsidR="00CA4129">
        <w:rPr>
          <w:rFonts w:ascii="Arial" w:hAnsi="Arial" w:cs="Arial"/>
          <w:sz w:val="24"/>
          <w:szCs w:val="24"/>
        </w:rPr>
        <w:t>which is</w:t>
      </w:r>
      <w:r w:rsidR="00CA4129" w:rsidRPr="00133510">
        <w:rPr>
          <w:rFonts w:ascii="Arial" w:hAnsi="Arial" w:cs="Arial"/>
          <w:sz w:val="24"/>
          <w:szCs w:val="24"/>
        </w:rPr>
        <w:t xml:space="preserve"> </w:t>
      </w:r>
      <w:r w:rsidR="00446C7B" w:rsidRPr="00133510">
        <w:rPr>
          <w:rFonts w:ascii="Arial" w:hAnsi="Arial" w:cs="Arial"/>
          <w:sz w:val="24"/>
          <w:szCs w:val="24"/>
        </w:rPr>
        <w:t>the blue print for transformation of the continent.</w:t>
      </w:r>
    </w:p>
    <w:p w:rsidR="005764BF" w:rsidRDefault="0033704F" w:rsidP="007A199D">
      <w:pPr>
        <w:tabs>
          <w:tab w:val="left" w:pos="2790"/>
        </w:tabs>
        <w:spacing w:after="0" w:line="360" w:lineRule="auto"/>
        <w:jc w:val="both"/>
        <w:rPr>
          <w:rFonts w:ascii="Arial" w:hAnsi="Arial" w:cs="Arial"/>
          <w:sz w:val="24"/>
          <w:szCs w:val="24"/>
        </w:rPr>
      </w:pPr>
      <w:r w:rsidRPr="007A199D">
        <w:rPr>
          <w:rFonts w:ascii="Arial" w:hAnsi="Arial" w:cs="Arial"/>
          <w:sz w:val="24"/>
          <w:szCs w:val="24"/>
        </w:rPr>
        <w:t>A multi-stakeholder body,</w:t>
      </w:r>
      <w:r w:rsidRPr="007A199D">
        <w:rPr>
          <w:rFonts w:ascii="Arial" w:hAnsi="Arial" w:cs="Arial"/>
          <w:b/>
          <w:sz w:val="24"/>
          <w:szCs w:val="24"/>
        </w:rPr>
        <w:t xml:space="preserve"> </w:t>
      </w:r>
      <w:r w:rsidRPr="007A199D">
        <w:rPr>
          <w:rFonts w:ascii="Arial" w:hAnsi="Arial" w:cs="Arial"/>
          <w:sz w:val="24"/>
          <w:szCs w:val="24"/>
        </w:rPr>
        <w:t>National Steering Committee (NSC)</w:t>
      </w:r>
      <w:r w:rsidRPr="007A199D">
        <w:rPr>
          <w:rFonts w:ascii="Arial" w:hAnsi="Arial" w:cs="Arial"/>
          <w:b/>
          <w:sz w:val="24"/>
          <w:szCs w:val="24"/>
        </w:rPr>
        <w:t xml:space="preserve"> </w:t>
      </w:r>
      <w:r w:rsidR="000C6463" w:rsidRPr="007A199D">
        <w:rPr>
          <w:rFonts w:ascii="Arial" w:hAnsi="Arial" w:cs="Arial"/>
          <w:sz w:val="24"/>
          <w:szCs w:val="24"/>
        </w:rPr>
        <w:t>has been</w:t>
      </w:r>
      <w:r w:rsidR="000C6463" w:rsidRPr="007A199D">
        <w:rPr>
          <w:rFonts w:ascii="Arial" w:hAnsi="Arial" w:cs="Arial"/>
          <w:b/>
          <w:sz w:val="24"/>
          <w:szCs w:val="24"/>
        </w:rPr>
        <w:t xml:space="preserve"> </w:t>
      </w:r>
      <w:r w:rsidRPr="007A199D">
        <w:rPr>
          <w:rFonts w:ascii="Arial" w:hAnsi="Arial" w:cs="Arial"/>
          <w:sz w:val="24"/>
          <w:szCs w:val="24"/>
        </w:rPr>
        <w:t xml:space="preserve">formed to coordinate </w:t>
      </w:r>
      <w:r w:rsidR="000C6463" w:rsidRPr="007A199D">
        <w:rPr>
          <w:rFonts w:ascii="Arial" w:hAnsi="Arial" w:cs="Arial"/>
          <w:sz w:val="24"/>
          <w:szCs w:val="24"/>
        </w:rPr>
        <w:t>i</w:t>
      </w:r>
      <w:r w:rsidRPr="007A199D">
        <w:rPr>
          <w:rFonts w:ascii="Arial" w:hAnsi="Arial" w:cs="Arial"/>
          <w:sz w:val="24"/>
          <w:szCs w:val="24"/>
        </w:rPr>
        <w:t>mplementation</w:t>
      </w:r>
      <w:r w:rsidR="000C6463" w:rsidRPr="007A199D">
        <w:rPr>
          <w:rFonts w:ascii="Arial" w:hAnsi="Arial" w:cs="Arial"/>
          <w:sz w:val="24"/>
          <w:szCs w:val="24"/>
        </w:rPr>
        <w:t xml:space="preserve"> of global frameworks</w:t>
      </w:r>
      <w:r w:rsidR="00084B6F" w:rsidRPr="007A199D">
        <w:rPr>
          <w:rFonts w:ascii="Arial" w:hAnsi="Arial" w:cs="Arial"/>
        </w:rPr>
        <w:t xml:space="preserve"> </w:t>
      </w:r>
      <w:r w:rsidR="00084B6F" w:rsidRPr="007A199D">
        <w:rPr>
          <w:rFonts w:ascii="Arial" w:hAnsi="Arial" w:cs="Arial"/>
          <w:sz w:val="24"/>
          <w:szCs w:val="24"/>
        </w:rPr>
        <w:t>including Agenda 2063,</w:t>
      </w:r>
      <w:r w:rsidRPr="007A199D">
        <w:rPr>
          <w:rFonts w:ascii="Arial" w:hAnsi="Arial" w:cs="Arial"/>
          <w:sz w:val="24"/>
          <w:szCs w:val="24"/>
        </w:rPr>
        <w:t xml:space="preserve"> at national</w:t>
      </w:r>
      <w:r w:rsidR="000C6463" w:rsidRPr="007A199D">
        <w:rPr>
          <w:rFonts w:ascii="Arial" w:hAnsi="Arial" w:cs="Arial"/>
          <w:sz w:val="24"/>
          <w:szCs w:val="24"/>
        </w:rPr>
        <w:t xml:space="preserve"> and district</w:t>
      </w:r>
      <w:r w:rsidRPr="007A199D">
        <w:rPr>
          <w:rFonts w:ascii="Arial" w:hAnsi="Arial" w:cs="Arial"/>
          <w:sz w:val="24"/>
          <w:szCs w:val="24"/>
        </w:rPr>
        <w:t xml:space="preserve"> level. </w:t>
      </w:r>
      <w:proofErr w:type="gramStart"/>
      <w:r w:rsidRPr="007A199D">
        <w:rPr>
          <w:rFonts w:ascii="Arial" w:hAnsi="Arial" w:cs="Arial"/>
          <w:sz w:val="24"/>
          <w:szCs w:val="24"/>
        </w:rPr>
        <w:t>It’s</w:t>
      </w:r>
      <w:proofErr w:type="gramEnd"/>
      <w:r w:rsidRPr="007A199D">
        <w:rPr>
          <w:rFonts w:ascii="Arial" w:hAnsi="Arial" w:cs="Arial"/>
          <w:sz w:val="24"/>
          <w:szCs w:val="24"/>
        </w:rPr>
        <w:t xml:space="preserve"> Secretariat</w:t>
      </w:r>
      <w:r w:rsidR="000C6463" w:rsidRPr="007A199D">
        <w:rPr>
          <w:rFonts w:ascii="Arial" w:hAnsi="Arial" w:cs="Arial"/>
          <w:sz w:val="24"/>
          <w:szCs w:val="24"/>
        </w:rPr>
        <w:t xml:space="preserve"> is the</w:t>
      </w:r>
      <w:r w:rsidRPr="007A199D">
        <w:rPr>
          <w:rFonts w:ascii="Arial" w:hAnsi="Arial" w:cs="Arial"/>
          <w:sz w:val="24"/>
          <w:szCs w:val="24"/>
        </w:rPr>
        <w:t xml:space="preserve"> Population and Develop</w:t>
      </w:r>
      <w:r w:rsidR="000C6463" w:rsidRPr="007A199D">
        <w:rPr>
          <w:rFonts w:ascii="Arial" w:hAnsi="Arial" w:cs="Arial"/>
          <w:sz w:val="24"/>
          <w:szCs w:val="24"/>
        </w:rPr>
        <w:t>ment Coordination (PDC) Section</w:t>
      </w:r>
      <w:r w:rsidRPr="007A199D">
        <w:rPr>
          <w:rFonts w:ascii="Arial" w:hAnsi="Arial" w:cs="Arial"/>
          <w:sz w:val="24"/>
          <w:szCs w:val="24"/>
        </w:rPr>
        <w:t xml:space="preserve"> </w:t>
      </w:r>
      <w:r w:rsidR="000C6463" w:rsidRPr="007A199D">
        <w:rPr>
          <w:rFonts w:ascii="Arial" w:hAnsi="Arial" w:cs="Arial"/>
          <w:sz w:val="24"/>
          <w:szCs w:val="24"/>
        </w:rPr>
        <w:t>with</w:t>
      </w:r>
      <w:r w:rsidRPr="007A199D">
        <w:rPr>
          <w:rFonts w:ascii="Arial" w:hAnsi="Arial" w:cs="Arial"/>
          <w:sz w:val="24"/>
          <w:szCs w:val="24"/>
        </w:rPr>
        <w:t>in the Ministry of Finance and Economic Development (MFED).</w:t>
      </w:r>
      <w:r w:rsidR="000C6463" w:rsidRPr="007A199D">
        <w:rPr>
          <w:rFonts w:ascii="Arial" w:hAnsi="Arial" w:cs="Arial"/>
        </w:rPr>
        <w:t xml:space="preserve"> </w:t>
      </w:r>
      <w:r w:rsidR="000C6463" w:rsidRPr="007A199D">
        <w:rPr>
          <w:rFonts w:ascii="Arial" w:hAnsi="Arial" w:cs="Arial"/>
          <w:sz w:val="24"/>
          <w:szCs w:val="24"/>
        </w:rPr>
        <w:t xml:space="preserve">The National Steering Committee is assisted by </w:t>
      </w:r>
      <w:r w:rsidR="00084B6F" w:rsidRPr="007A199D">
        <w:rPr>
          <w:rFonts w:ascii="Arial" w:hAnsi="Arial" w:cs="Arial"/>
          <w:sz w:val="24"/>
          <w:szCs w:val="24"/>
        </w:rPr>
        <w:t>a multi-stakeholder</w:t>
      </w:r>
      <w:r w:rsidR="000C6463" w:rsidRPr="007A199D">
        <w:rPr>
          <w:rFonts w:ascii="Arial" w:hAnsi="Arial" w:cs="Arial"/>
          <w:sz w:val="24"/>
          <w:szCs w:val="24"/>
        </w:rPr>
        <w:t xml:space="preserve"> Technical Task Force which works directly with the Secretariat.</w:t>
      </w:r>
      <w:r w:rsidR="00804D4C" w:rsidRPr="007A199D">
        <w:rPr>
          <w:rFonts w:ascii="Arial" w:hAnsi="Arial" w:cs="Arial"/>
          <w:sz w:val="24"/>
          <w:szCs w:val="24"/>
        </w:rPr>
        <w:t xml:space="preserve"> </w:t>
      </w:r>
      <w:r w:rsidR="00EC65C0" w:rsidRPr="007A199D">
        <w:rPr>
          <w:rFonts w:ascii="Arial" w:hAnsi="Arial" w:cs="Arial"/>
          <w:sz w:val="24"/>
          <w:szCs w:val="24"/>
        </w:rPr>
        <w:t>A Special Select Committee within Parliament of Botswana also provides oversight of global frameworks, including Agenda 2063.</w:t>
      </w:r>
      <w:r w:rsidR="000C6463" w:rsidRPr="007A199D">
        <w:rPr>
          <w:rFonts w:ascii="Arial" w:hAnsi="Arial" w:cs="Arial"/>
          <w:sz w:val="24"/>
          <w:szCs w:val="24"/>
        </w:rPr>
        <w:t xml:space="preserve"> </w:t>
      </w:r>
    </w:p>
    <w:p w:rsidR="00B2709F" w:rsidRPr="007A199D" w:rsidRDefault="00B2709F" w:rsidP="007A199D">
      <w:pPr>
        <w:tabs>
          <w:tab w:val="left" w:pos="2790"/>
        </w:tabs>
        <w:spacing w:after="0" w:line="360" w:lineRule="auto"/>
        <w:jc w:val="both"/>
        <w:rPr>
          <w:rFonts w:ascii="Arial" w:hAnsi="Arial" w:cs="Arial"/>
          <w:sz w:val="24"/>
          <w:szCs w:val="24"/>
        </w:rPr>
      </w:pPr>
    </w:p>
    <w:p w:rsidR="00AF563F" w:rsidRPr="007A199D" w:rsidRDefault="00AF563F" w:rsidP="007A199D">
      <w:pPr>
        <w:tabs>
          <w:tab w:val="left" w:pos="2790"/>
        </w:tabs>
        <w:spacing w:after="0" w:line="360" w:lineRule="auto"/>
        <w:jc w:val="both"/>
        <w:rPr>
          <w:rFonts w:ascii="Arial" w:hAnsi="Arial" w:cs="Arial"/>
          <w:sz w:val="24"/>
          <w:szCs w:val="24"/>
        </w:rPr>
      </w:pPr>
      <w:r w:rsidRPr="007A199D">
        <w:rPr>
          <w:rFonts w:ascii="Arial" w:hAnsi="Arial" w:cs="Arial"/>
          <w:sz w:val="24"/>
          <w:szCs w:val="24"/>
        </w:rPr>
        <w:t>The year 2019 marks the review of major frameworks that shape Botswana’s development agenda. At the national level,</w:t>
      </w:r>
      <w:r w:rsidR="00B24C1D" w:rsidRPr="007A199D">
        <w:rPr>
          <w:rFonts w:ascii="Arial" w:hAnsi="Arial" w:cs="Arial"/>
          <w:sz w:val="24"/>
          <w:szCs w:val="24"/>
        </w:rPr>
        <w:t xml:space="preserve"> the</w:t>
      </w:r>
      <w:r w:rsidRPr="007A199D">
        <w:rPr>
          <w:rFonts w:ascii="Arial" w:hAnsi="Arial" w:cs="Arial"/>
          <w:sz w:val="24"/>
          <w:szCs w:val="24"/>
        </w:rPr>
        <w:t xml:space="preserve"> mid-term review of the National Development Plan </w:t>
      </w:r>
      <w:r w:rsidR="00B24C1D" w:rsidRPr="007A199D">
        <w:rPr>
          <w:rFonts w:ascii="Arial" w:hAnsi="Arial" w:cs="Arial"/>
          <w:sz w:val="24"/>
          <w:szCs w:val="24"/>
        </w:rPr>
        <w:t>E</w:t>
      </w:r>
      <w:r w:rsidRPr="007A199D">
        <w:rPr>
          <w:rFonts w:ascii="Arial" w:hAnsi="Arial" w:cs="Arial"/>
          <w:sz w:val="24"/>
          <w:szCs w:val="24"/>
        </w:rPr>
        <w:t>leven (NDP 11) is ongoing, due to end in March 2020 while at the global level the country participated in the review of the Sustainable Development Goals</w:t>
      </w:r>
      <w:r w:rsidR="00B24C1D" w:rsidRPr="007A199D">
        <w:rPr>
          <w:rFonts w:ascii="Arial" w:hAnsi="Arial" w:cs="Arial"/>
          <w:sz w:val="24"/>
          <w:szCs w:val="24"/>
        </w:rPr>
        <w:t xml:space="preserve"> (SDGs)</w:t>
      </w:r>
      <w:r w:rsidRPr="007A199D">
        <w:rPr>
          <w:rFonts w:ascii="Arial" w:hAnsi="Arial" w:cs="Arial"/>
          <w:sz w:val="24"/>
          <w:szCs w:val="24"/>
        </w:rPr>
        <w:t xml:space="preserve"> as well as the </w:t>
      </w:r>
      <w:proofErr w:type="spellStart"/>
      <w:r w:rsidRPr="007A199D">
        <w:rPr>
          <w:rFonts w:ascii="Arial" w:hAnsi="Arial" w:cs="Arial"/>
          <w:sz w:val="24"/>
          <w:szCs w:val="24"/>
        </w:rPr>
        <w:t>Programme</w:t>
      </w:r>
      <w:proofErr w:type="spellEnd"/>
      <w:r w:rsidRPr="007A199D">
        <w:rPr>
          <w:rFonts w:ascii="Arial" w:hAnsi="Arial" w:cs="Arial"/>
          <w:sz w:val="24"/>
          <w:szCs w:val="24"/>
        </w:rPr>
        <w:t xml:space="preserve"> of Action of the International Conference on Population and Development. </w:t>
      </w:r>
      <w:r w:rsidR="005764BF" w:rsidRPr="007A199D">
        <w:rPr>
          <w:rFonts w:ascii="Arial" w:hAnsi="Arial" w:cs="Arial"/>
          <w:sz w:val="24"/>
          <w:szCs w:val="24"/>
        </w:rPr>
        <w:t>Production of this report</w:t>
      </w:r>
      <w:r w:rsidR="0078208B" w:rsidRPr="007A199D">
        <w:rPr>
          <w:rFonts w:ascii="Arial" w:hAnsi="Arial" w:cs="Arial"/>
          <w:sz w:val="24"/>
          <w:szCs w:val="24"/>
        </w:rPr>
        <w:t xml:space="preserve"> therefore, wa</w:t>
      </w:r>
      <w:r w:rsidRPr="007A199D">
        <w:rPr>
          <w:rFonts w:ascii="Arial" w:hAnsi="Arial" w:cs="Arial"/>
          <w:sz w:val="24"/>
          <w:szCs w:val="24"/>
        </w:rPr>
        <w:t>s informed by these various processes.</w:t>
      </w:r>
      <w:r w:rsidR="005764BF" w:rsidRPr="007A199D">
        <w:rPr>
          <w:rFonts w:ascii="Arial" w:hAnsi="Arial" w:cs="Arial"/>
          <w:sz w:val="24"/>
          <w:szCs w:val="24"/>
        </w:rPr>
        <w:t xml:space="preserve"> </w:t>
      </w:r>
      <w:r w:rsidR="000E7007" w:rsidRPr="007A199D">
        <w:rPr>
          <w:rFonts w:ascii="Arial" w:hAnsi="Arial" w:cs="Arial"/>
          <w:sz w:val="24"/>
          <w:szCs w:val="24"/>
        </w:rPr>
        <w:t xml:space="preserve">Important lessons learnt </w:t>
      </w:r>
      <w:r w:rsidR="0078208B" w:rsidRPr="007A199D">
        <w:rPr>
          <w:rFonts w:ascii="Arial" w:hAnsi="Arial" w:cs="Arial"/>
          <w:sz w:val="24"/>
          <w:szCs w:val="24"/>
        </w:rPr>
        <w:t xml:space="preserve">include, acknowledging that strengthening the existing institutional and governance structures for the facilitation of the Agenda 2063 life cycle and </w:t>
      </w:r>
      <w:r w:rsidR="00E0717C" w:rsidRPr="007A199D">
        <w:rPr>
          <w:rFonts w:ascii="Arial" w:hAnsi="Arial" w:cs="Arial"/>
          <w:sz w:val="24"/>
          <w:szCs w:val="24"/>
        </w:rPr>
        <w:t xml:space="preserve">unlocking </w:t>
      </w:r>
      <w:r w:rsidR="0078208B" w:rsidRPr="007A199D">
        <w:rPr>
          <w:rFonts w:ascii="Arial" w:hAnsi="Arial" w:cs="Arial"/>
          <w:sz w:val="24"/>
          <w:szCs w:val="24"/>
        </w:rPr>
        <w:t>service delivery</w:t>
      </w:r>
      <w:r w:rsidR="00E0717C" w:rsidRPr="007A199D">
        <w:rPr>
          <w:rFonts w:ascii="Arial" w:hAnsi="Arial" w:cs="Arial"/>
          <w:sz w:val="24"/>
          <w:szCs w:val="24"/>
        </w:rPr>
        <w:t xml:space="preserve"> challenges</w:t>
      </w:r>
      <w:r w:rsidR="0078208B" w:rsidRPr="007A199D">
        <w:rPr>
          <w:rFonts w:ascii="Arial" w:hAnsi="Arial" w:cs="Arial"/>
          <w:sz w:val="24"/>
          <w:szCs w:val="24"/>
        </w:rPr>
        <w:t xml:space="preserve"> </w:t>
      </w:r>
      <w:r w:rsidR="00E0717C" w:rsidRPr="007A199D">
        <w:rPr>
          <w:rFonts w:ascii="Arial" w:hAnsi="Arial" w:cs="Arial"/>
          <w:sz w:val="24"/>
          <w:szCs w:val="24"/>
        </w:rPr>
        <w:t>to better serve</w:t>
      </w:r>
      <w:r w:rsidR="0078208B" w:rsidRPr="007A199D">
        <w:rPr>
          <w:rFonts w:ascii="Arial" w:hAnsi="Arial" w:cs="Arial"/>
          <w:sz w:val="24"/>
          <w:szCs w:val="24"/>
        </w:rPr>
        <w:t xml:space="preserve"> the people of Botswana, </w:t>
      </w:r>
      <w:r w:rsidR="00F80096" w:rsidRPr="007A199D">
        <w:rPr>
          <w:rFonts w:ascii="Arial" w:hAnsi="Arial" w:cs="Arial"/>
          <w:sz w:val="24"/>
          <w:szCs w:val="24"/>
        </w:rPr>
        <w:t>is not an option</w:t>
      </w:r>
      <w:r w:rsidR="0078208B" w:rsidRPr="007A199D">
        <w:rPr>
          <w:rFonts w:ascii="Arial" w:hAnsi="Arial" w:cs="Arial"/>
          <w:sz w:val="24"/>
          <w:szCs w:val="24"/>
        </w:rPr>
        <w:t xml:space="preserve">.  </w:t>
      </w:r>
    </w:p>
    <w:p w:rsidR="00F80096" w:rsidRPr="007A199D" w:rsidRDefault="00F80096" w:rsidP="007A199D">
      <w:pPr>
        <w:tabs>
          <w:tab w:val="left" w:pos="2790"/>
        </w:tabs>
        <w:spacing w:after="0" w:line="240" w:lineRule="auto"/>
        <w:jc w:val="both"/>
        <w:rPr>
          <w:rFonts w:ascii="Arial" w:hAnsi="Arial" w:cs="Arial"/>
          <w:sz w:val="24"/>
          <w:szCs w:val="24"/>
        </w:rPr>
      </w:pPr>
    </w:p>
    <w:p w:rsidR="000E7007" w:rsidRPr="00041397" w:rsidRDefault="00AF563F" w:rsidP="007A199D">
      <w:pPr>
        <w:tabs>
          <w:tab w:val="left" w:pos="2790"/>
        </w:tabs>
        <w:spacing w:after="0" w:line="360" w:lineRule="auto"/>
        <w:jc w:val="both"/>
        <w:rPr>
          <w:rFonts w:ascii="Arial" w:hAnsi="Arial" w:cs="Arial"/>
          <w:sz w:val="24"/>
          <w:szCs w:val="24"/>
        </w:rPr>
      </w:pPr>
      <w:r w:rsidRPr="007A199D">
        <w:rPr>
          <w:rFonts w:ascii="Arial" w:hAnsi="Arial" w:cs="Arial"/>
          <w:sz w:val="24"/>
          <w:szCs w:val="24"/>
        </w:rPr>
        <w:t>G</w:t>
      </w:r>
      <w:r w:rsidR="005764BF" w:rsidRPr="007A199D">
        <w:rPr>
          <w:rFonts w:ascii="Arial" w:hAnsi="Arial" w:cs="Arial"/>
          <w:sz w:val="24"/>
          <w:szCs w:val="24"/>
        </w:rPr>
        <w:t xml:space="preserve">oing forward, </w:t>
      </w:r>
      <w:r w:rsidR="00804D4C" w:rsidRPr="007A199D">
        <w:rPr>
          <w:rFonts w:ascii="Arial" w:hAnsi="Arial" w:cs="Arial"/>
          <w:sz w:val="24"/>
          <w:szCs w:val="24"/>
        </w:rPr>
        <w:t xml:space="preserve">efforts to promote Agenda 2063 </w:t>
      </w:r>
      <w:r w:rsidR="005764BF" w:rsidRPr="007A199D">
        <w:rPr>
          <w:rFonts w:ascii="Arial" w:hAnsi="Arial" w:cs="Arial"/>
          <w:sz w:val="24"/>
          <w:szCs w:val="24"/>
        </w:rPr>
        <w:t xml:space="preserve">through awareness </w:t>
      </w:r>
      <w:r w:rsidR="001864F3" w:rsidRPr="00041397">
        <w:rPr>
          <w:rFonts w:ascii="Arial" w:hAnsi="Arial" w:cs="Arial"/>
          <w:sz w:val="24"/>
          <w:szCs w:val="24"/>
        </w:rPr>
        <w:t>campaigns and several dialogue sessions undertaken jointly by the Government, Local Authorities, Civil Societies and other stakeholder</w:t>
      </w:r>
      <w:r w:rsidR="001976F6" w:rsidRPr="00041397">
        <w:rPr>
          <w:rFonts w:ascii="Arial" w:hAnsi="Arial" w:cs="Arial"/>
          <w:sz w:val="24"/>
          <w:szCs w:val="24"/>
        </w:rPr>
        <w:t>s</w:t>
      </w:r>
      <w:r w:rsidR="00E0717C" w:rsidRPr="00041397">
        <w:rPr>
          <w:rFonts w:ascii="Arial" w:hAnsi="Arial" w:cs="Arial"/>
          <w:sz w:val="24"/>
          <w:szCs w:val="24"/>
        </w:rPr>
        <w:t>,</w:t>
      </w:r>
      <w:r w:rsidR="005764BF" w:rsidRPr="00041397">
        <w:rPr>
          <w:rFonts w:ascii="Arial" w:hAnsi="Arial" w:cs="Arial"/>
          <w:sz w:val="24"/>
          <w:szCs w:val="24"/>
        </w:rPr>
        <w:t xml:space="preserve"> will be intensified</w:t>
      </w:r>
      <w:r w:rsidR="001864F3" w:rsidRPr="00041397">
        <w:rPr>
          <w:rFonts w:ascii="Arial" w:hAnsi="Arial" w:cs="Arial"/>
          <w:sz w:val="24"/>
          <w:szCs w:val="24"/>
        </w:rPr>
        <w:t xml:space="preserve">. </w:t>
      </w:r>
    </w:p>
    <w:p w:rsidR="00E0717C" w:rsidRPr="00041397" w:rsidRDefault="0078208B" w:rsidP="007A199D">
      <w:pPr>
        <w:tabs>
          <w:tab w:val="left" w:pos="3420"/>
        </w:tabs>
        <w:spacing w:after="0" w:line="240" w:lineRule="auto"/>
        <w:jc w:val="both"/>
        <w:rPr>
          <w:rFonts w:ascii="Arial" w:hAnsi="Arial" w:cs="Arial"/>
          <w:sz w:val="24"/>
          <w:szCs w:val="24"/>
        </w:rPr>
      </w:pPr>
      <w:r w:rsidRPr="00041397">
        <w:rPr>
          <w:rFonts w:ascii="Arial" w:hAnsi="Arial" w:cs="Arial"/>
          <w:sz w:val="24"/>
          <w:szCs w:val="24"/>
        </w:rPr>
        <w:tab/>
      </w:r>
    </w:p>
    <w:p w:rsidR="008625B5" w:rsidRPr="00041397" w:rsidRDefault="008625B5" w:rsidP="007A199D">
      <w:pPr>
        <w:tabs>
          <w:tab w:val="left" w:pos="3420"/>
        </w:tabs>
        <w:spacing w:after="0" w:line="240" w:lineRule="auto"/>
        <w:jc w:val="both"/>
        <w:rPr>
          <w:rFonts w:ascii="Arial" w:eastAsia="Calibri" w:hAnsi="Arial" w:cs="Arial"/>
          <w:sz w:val="24"/>
          <w:szCs w:val="24"/>
        </w:rPr>
      </w:pPr>
    </w:p>
    <w:p w:rsidR="00885A10" w:rsidRPr="00041397" w:rsidRDefault="00133510" w:rsidP="00133510">
      <w:pPr>
        <w:pStyle w:val="Heading1"/>
        <w:spacing w:line="360" w:lineRule="auto"/>
        <w:rPr>
          <w:rFonts w:ascii="Arial" w:hAnsi="Arial" w:cs="Arial"/>
          <w:b/>
          <w:color w:val="0D0D0D" w:themeColor="text1" w:themeTint="F2"/>
          <w:sz w:val="24"/>
          <w:szCs w:val="24"/>
        </w:rPr>
      </w:pPr>
      <w:r w:rsidRPr="00041397">
        <w:rPr>
          <w:rFonts w:ascii="Arial" w:hAnsi="Arial" w:cs="Arial"/>
          <w:b/>
          <w:color w:val="0D0D0D" w:themeColor="text1" w:themeTint="F2"/>
          <w:sz w:val="24"/>
          <w:szCs w:val="24"/>
        </w:rPr>
        <w:t xml:space="preserve">2.0 </w:t>
      </w:r>
      <w:r w:rsidR="00885A10" w:rsidRPr="00041397">
        <w:rPr>
          <w:rFonts w:ascii="Arial" w:hAnsi="Arial" w:cs="Arial"/>
          <w:b/>
          <w:color w:val="0D0D0D" w:themeColor="text1" w:themeTint="F2"/>
          <w:sz w:val="24"/>
          <w:szCs w:val="24"/>
        </w:rPr>
        <w:t>KEY STRATEGIES FOR IMPLEMENTING AGENDA 2063</w:t>
      </w:r>
    </w:p>
    <w:p w:rsidR="00795380" w:rsidRDefault="0073018D" w:rsidP="007418DB">
      <w:pPr>
        <w:autoSpaceDE w:val="0"/>
        <w:autoSpaceDN w:val="0"/>
        <w:adjustRightInd w:val="0"/>
        <w:spacing w:after="0" w:line="360" w:lineRule="auto"/>
        <w:jc w:val="both"/>
        <w:rPr>
          <w:rFonts w:ascii="Arial" w:hAnsi="Arial" w:cs="Arial"/>
          <w:sz w:val="24"/>
          <w:szCs w:val="24"/>
        </w:rPr>
      </w:pPr>
      <w:r w:rsidRPr="00041397">
        <w:rPr>
          <w:rFonts w:ascii="Arial" w:hAnsi="Arial" w:cs="Arial"/>
          <w:sz w:val="24"/>
          <w:szCs w:val="24"/>
        </w:rPr>
        <w:t>During t</w:t>
      </w:r>
      <w:r w:rsidR="003B2720" w:rsidRPr="00041397">
        <w:rPr>
          <w:rFonts w:ascii="Arial" w:hAnsi="Arial" w:cs="Arial"/>
          <w:sz w:val="24"/>
          <w:szCs w:val="24"/>
        </w:rPr>
        <w:t>he</w:t>
      </w:r>
      <w:r w:rsidR="00E0717C" w:rsidRPr="00041397">
        <w:rPr>
          <w:rFonts w:ascii="Arial" w:hAnsi="Arial" w:cs="Arial"/>
          <w:sz w:val="24"/>
          <w:szCs w:val="24"/>
        </w:rPr>
        <w:t xml:space="preserve"> past seven years since adoption of ‘the Africa We Want’ framework,</w:t>
      </w:r>
      <w:r w:rsidRPr="00041397">
        <w:rPr>
          <w:rFonts w:ascii="Arial" w:hAnsi="Arial" w:cs="Arial"/>
          <w:sz w:val="24"/>
          <w:szCs w:val="24"/>
        </w:rPr>
        <w:t xml:space="preserve"> key strategies and planning mechanisms in</w:t>
      </w:r>
      <w:r w:rsidR="00E0717C" w:rsidRPr="00041397">
        <w:rPr>
          <w:rFonts w:ascii="Arial" w:hAnsi="Arial" w:cs="Arial"/>
          <w:sz w:val="24"/>
          <w:szCs w:val="24"/>
        </w:rPr>
        <w:t xml:space="preserve"> </w:t>
      </w:r>
      <w:r w:rsidRPr="00041397">
        <w:rPr>
          <w:rFonts w:ascii="Arial" w:hAnsi="Arial" w:cs="Arial"/>
          <w:sz w:val="24"/>
          <w:szCs w:val="24"/>
        </w:rPr>
        <w:t>Botswana were constantly reviewed, with a view to streamline and ensure alignment between global frameworks and</w:t>
      </w:r>
      <w:r w:rsidR="00972500" w:rsidRPr="00041397">
        <w:rPr>
          <w:rFonts w:ascii="Arial" w:hAnsi="Arial" w:cs="Arial"/>
          <w:sz w:val="24"/>
          <w:szCs w:val="24"/>
        </w:rPr>
        <w:t xml:space="preserve"> the</w:t>
      </w:r>
      <w:r w:rsidRPr="00041397">
        <w:rPr>
          <w:rFonts w:ascii="Arial" w:hAnsi="Arial" w:cs="Arial"/>
          <w:sz w:val="24"/>
          <w:szCs w:val="24"/>
        </w:rPr>
        <w:t xml:space="preserve"> long-term Vision 2016 as well as its successor Vision 2036,</w:t>
      </w:r>
      <w:r w:rsidR="003B2720" w:rsidRPr="00041397">
        <w:rPr>
          <w:rFonts w:ascii="Arial" w:hAnsi="Arial" w:cs="Arial"/>
          <w:sz w:val="24"/>
          <w:szCs w:val="24"/>
        </w:rPr>
        <w:t xml:space="preserve"> National Development Plan</w:t>
      </w:r>
      <w:r w:rsidRPr="00041397">
        <w:rPr>
          <w:rFonts w:ascii="Arial" w:hAnsi="Arial" w:cs="Arial"/>
          <w:sz w:val="24"/>
          <w:szCs w:val="24"/>
        </w:rPr>
        <w:t>s Ten and Eleven</w:t>
      </w:r>
      <w:r w:rsidR="003B2720" w:rsidRPr="00041397">
        <w:rPr>
          <w:rFonts w:ascii="Arial" w:hAnsi="Arial" w:cs="Arial"/>
          <w:sz w:val="24"/>
          <w:szCs w:val="24"/>
        </w:rPr>
        <w:t xml:space="preserve"> (NDP</w:t>
      </w:r>
      <w:r w:rsidRPr="00041397">
        <w:rPr>
          <w:rFonts w:ascii="Arial" w:hAnsi="Arial" w:cs="Arial"/>
          <w:sz w:val="24"/>
          <w:szCs w:val="24"/>
        </w:rPr>
        <w:t xml:space="preserve"> 10 &amp;</w:t>
      </w:r>
      <w:r w:rsidR="003B2720" w:rsidRPr="00041397">
        <w:rPr>
          <w:rFonts w:ascii="Arial" w:hAnsi="Arial" w:cs="Arial"/>
          <w:sz w:val="24"/>
          <w:szCs w:val="24"/>
        </w:rPr>
        <w:t xml:space="preserve"> 11)</w:t>
      </w:r>
      <w:r w:rsidRPr="00041397">
        <w:rPr>
          <w:rFonts w:ascii="Arial" w:hAnsi="Arial" w:cs="Arial"/>
          <w:sz w:val="24"/>
          <w:szCs w:val="24"/>
        </w:rPr>
        <w:t>.</w:t>
      </w:r>
      <w:r w:rsidR="00972500" w:rsidRPr="00041397">
        <w:rPr>
          <w:rFonts w:ascii="Arial" w:hAnsi="Arial" w:cs="Arial"/>
          <w:sz w:val="24"/>
          <w:szCs w:val="24"/>
        </w:rPr>
        <w:t xml:space="preserve"> </w:t>
      </w:r>
    </w:p>
    <w:p w:rsidR="00795380" w:rsidRDefault="00795380" w:rsidP="007418DB">
      <w:pPr>
        <w:autoSpaceDE w:val="0"/>
        <w:autoSpaceDN w:val="0"/>
        <w:adjustRightInd w:val="0"/>
        <w:spacing w:after="0" w:line="360" w:lineRule="auto"/>
        <w:jc w:val="both"/>
        <w:rPr>
          <w:rFonts w:ascii="Arial" w:hAnsi="Arial" w:cs="Arial"/>
          <w:sz w:val="24"/>
          <w:szCs w:val="24"/>
        </w:rPr>
      </w:pPr>
    </w:p>
    <w:p w:rsidR="00795380" w:rsidRDefault="00972500" w:rsidP="007418DB">
      <w:pPr>
        <w:autoSpaceDE w:val="0"/>
        <w:autoSpaceDN w:val="0"/>
        <w:adjustRightInd w:val="0"/>
        <w:spacing w:after="0" w:line="360" w:lineRule="auto"/>
        <w:jc w:val="both"/>
        <w:rPr>
          <w:rFonts w:ascii="Arial" w:hAnsi="Arial" w:cs="Arial"/>
          <w:sz w:val="24"/>
          <w:szCs w:val="24"/>
        </w:rPr>
      </w:pPr>
      <w:r w:rsidRPr="00041397">
        <w:rPr>
          <w:rFonts w:ascii="Arial" w:hAnsi="Arial" w:cs="Arial"/>
          <w:sz w:val="24"/>
          <w:szCs w:val="24"/>
        </w:rPr>
        <w:t>The end of the current medium-term NDP 11 in March 2023 will coincide with the end of the first ten years of implementation (FTYI</w:t>
      </w:r>
      <w:r w:rsidR="00795380">
        <w:rPr>
          <w:rFonts w:ascii="Arial" w:hAnsi="Arial" w:cs="Arial"/>
          <w:sz w:val="24"/>
          <w:szCs w:val="24"/>
        </w:rPr>
        <w:t>P</w:t>
      </w:r>
      <w:r w:rsidRPr="00041397">
        <w:rPr>
          <w:rFonts w:ascii="Arial" w:hAnsi="Arial" w:cs="Arial"/>
          <w:sz w:val="24"/>
          <w:szCs w:val="24"/>
        </w:rPr>
        <w:t>) of Agenda 2063.</w:t>
      </w:r>
      <w:r w:rsidR="00795380">
        <w:rPr>
          <w:rFonts w:ascii="Arial" w:hAnsi="Arial" w:cs="Arial"/>
          <w:sz w:val="24"/>
          <w:szCs w:val="24"/>
        </w:rPr>
        <w:t xml:space="preserve"> Its</w:t>
      </w:r>
      <w:r w:rsidR="00795380" w:rsidRPr="00795380">
        <w:t xml:space="preserve"> </w:t>
      </w:r>
      <w:r w:rsidR="00795380">
        <w:rPr>
          <w:rFonts w:ascii="Arial" w:hAnsi="Arial" w:cs="Arial"/>
          <w:sz w:val="24"/>
          <w:szCs w:val="24"/>
        </w:rPr>
        <w:t>theme of</w:t>
      </w:r>
      <w:r w:rsidR="00795380" w:rsidRPr="00795380">
        <w:rPr>
          <w:rFonts w:ascii="Arial" w:hAnsi="Arial" w:cs="Arial"/>
          <w:sz w:val="24"/>
          <w:szCs w:val="24"/>
        </w:rPr>
        <w:t xml:space="preserve"> </w:t>
      </w:r>
      <w:r w:rsidR="00795380" w:rsidRPr="007A199D">
        <w:rPr>
          <w:rFonts w:ascii="Arial" w:hAnsi="Arial" w:cs="Arial"/>
          <w:b/>
          <w:sz w:val="24"/>
          <w:szCs w:val="24"/>
        </w:rPr>
        <w:t>“Inclusive Growth for the Realization of Sustainable Employment Cr</w:t>
      </w:r>
      <w:r w:rsidR="00795380">
        <w:rPr>
          <w:rFonts w:ascii="Arial" w:hAnsi="Arial" w:cs="Arial"/>
          <w:b/>
          <w:sz w:val="24"/>
          <w:szCs w:val="24"/>
        </w:rPr>
        <w:t xml:space="preserve">eation and Poverty Eradication” </w:t>
      </w:r>
      <w:r w:rsidR="00795380">
        <w:rPr>
          <w:rFonts w:ascii="Arial" w:hAnsi="Arial" w:cs="Arial"/>
          <w:sz w:val="24"/>
          <w:szCs w:val="24"/>
        </w:rPr>
        <w:t>is consistent with Agenda 2063 ideals expressed in the Malabo Decisions of the Africa Union (AU) that seek to provide a push and breakthrough for Africa’s economic and social transformation. It is also in unison with the new transformation agenda of Botswana as espoused in the recent State of the Nation’s Address (SONA) of the new President.</w:t>
      </w:r>
      <w:r w:rsidRPr="00041397">
        <w:rPr>
          <w:rFonts w:ascii="Arial" w:hAnsi="Arial" w:cs="Arial"/>
          <w:sz w:val="24"/>
          <w:szCs w:val="24"/>
        </w:rPr>
        <w:t xml:space="preserve"> </w:t>
      </w:r>
    </w:p>
    <w:p w:rsidR="00795380" w:rsidRDefault="00795380" w:rsidP="007418DB">
      <w:pPr>
        <w:autoSpaceDE w:val="0"/>
        <w:autoSpaceDN w:val="0"/>
        <w:adjustRightInd w:val="0"/>
        <w:spacing w:after="0" w:line="360" w:lineRule="auto"/>
        <w:jc w:val="both"/>
        <w:rPr>
          <w:rFonts w:ascii="Arial" w:hAnsi="Arial" w:cs="Arial"/>
          <w:sz w:val="24"/>
          <w:szCs w:val="24"/>
        </w:rPr>
      </w:pPr>
    </w:p>
    <w:p w:rsidR="007418DB" w:rsidRPr="00041397" w:rsidRDefault="00972500" w:rsidP="007418DB">
      <w:pPr>
        <w:autoSpaceDE w:val="0"/>
        <w:autoSpaceDN w:val="0"/>
        <w:adjustRightInd w:val="0"/>
        <w:spacing w:after="0" w:line="360" w:lineRule="auto"/>
        <w:jc w:val="both"/>
        <w:rPr>
          <w:rFonts w:ascii="Arial" w:hAnsi="Arial" w:cs="Arial"/>
          <w:iCs/>
          <w:sz w:val="24"/>
          <w:szCs w:val="24"/>
        </w:rPr>
      </w:pPr>
      <w:r w:rsidRPr="00041397">
        <w:rPr>
          <w:rFonts w:ascii="Arial" w:hAnsi="Arial" w:cs="Arial"/>
          <w:sz w:val="24"/>
          <w:szCs w:val="24"/>
        </w:rPr>
        <w:t xml:space="preserve">The ongoing mid-term review of NDP 11 and subsequent annual planning cycles also provide opportunities </w:t>
      </w:r>
      <w:r w:rsidR="00E27C36" w:rsidRPr="00041397">
        <w:rPr>
          <w:rFonts w:ascii="Arial" w:hAnsi="Arial" w:cs="Arial"/>
          <w:sz w:val="24"/>
          <w:szCs w:val="24"/>
        </w:rPr>
        <w:t xml:space="preserve">to persistently form the necessary synergies. </w:t>
      </w:r>
      <w:r w:rsidR="00B2709F">
        <w:rPr>
          <w:rFonts w:ascii="Arial" w:hAnsi="Arial" w:cs="Arial"/>
          <w:sz w:val="24"/>
          <w:szCs w:val="24"/>
        </w:rPr>
        <w:t>These are further unpacked</w:t>
      </w:r>
      <w:r w:rsidR="008568FD">
        <w:rPr>
          <w:rFonts w:ascii="Arial" w:hAnsi="Arial" w:cs="Arial"/>
          <w:sz w:val="24"/>
          <w:szCs w:val="24"/>
        </w:rPr>
        <w:t xml:space="preserve"> and</w:t>
      </w:r>
      <w:r w:rsidR="00B2709F">
        <w:rPr>
          <w:rFonts w:ascii="Arial" w:hAnsi="Arial" w:cs="Arial"/>
          <w:sz w:val="24"/>
          <w:szCs w:val="24"/>
        </w:rPr>
        <w:t xml:space="preserve"> </w:t>
      </w:r>
      <w:r w:rsidR="008568FD">
        <w:rPr>
          <w:rFonts w:ascii="Arial" w:hAnsi="Arial" w:cs="Arial"/>
          <w:sz w:val="24"/>
          <w:szCs w:val="24"/>
        </w:rPr>
        <w:t xml:space="preserve">operationalized </w:t>
      </w:r>
      <w:r w:rsidR="00B2709F">
        <w:rPr>
          <w:rFonts w:ascii="Arial" w:hAnsi="Arial" w:cs="Arial"/>
          <w:sz w:val="24"/>
          <w:szCs w:val="24"/>
        </w:rPr>
        <w:t>through various ministries, departments and agencies (MDAs) policies and</w:t>
      </w:r>
      <w:r w:rsidR="008568FD">
        <w:rPr>
          <w:rFonts w:ascii="Arial" w:hAnsi="Arial" w:cs="Arial"/>
          <w:sz w:val="24"/>
          <w:szCs w:val="24"/>
        </w:rPr>
        <w:t xml:space="preserve"> strategies</w:t>
      </w:r>
      <w:r w:rsidR="00B2709F">
        <w:rPr>
          <w:rFonts w:ascii="Arial" w:hAnsi="Arial" w:cs="Arial"/>
          <w:sz w:val="24"/>
          <w:szCs w:val="24"/>
        </w:rPr>
        <w:t xml:space="preserve">. </w:t>
      </w:r>
      <w:r w:rsidR="008568FD">
        <w:rPr>
          <w:rFonts w:ascii="Arial" w:hAnsi="Arial" w:cs="Arial"/>
          <w:sz w:val="24"/>
          <w:szCs w:val="24"/>
        </w:rPr>
        <w:t>The multi-sectoral</w:t>
      </w:r>
      <w:r w:rsidR="00B2709F" w:rsidRPr="00B2709F">
        <w:rPr>
          <w:rFonts w:ascii="Arial" w:hAnsi="Arial" w:cs="Arial"/>
          <w:sz w:val="24"/>
          <w:szCs w:val="24"/>
        </w:rPr>
        <w:t xml:space="preserve"> Technical Working Groups (TWGs) </w:t>
      </w:r>
      <w:r w:rsidR="008568FD">
        <w:rPr>
          <w:rFonts w:ascii="Arial" w:hAnsi="Arial" w:cs="Arial"/>
          <w:sz w:val="24"/>
          <w:szCs w:val="24"/>
        </w:rPr>
        <w:t xml:space="preserve">also supports implementation by way of easing synergies and guarding against silos and other roadblocks likely to hinder progress. </w:t>
      </w:r>
      <w:r w:rsidR="007418DB" w:rsidRPr="00041397">
        <w:rPr>
          <w:rFonts w:ascii="Arial" w:hAnsi="Arial" w:cs="Arial"/>
          <w:sz w:val="24"/>
          <w:szCs w:val="24"/>
        </w:rPr>
        <w:t>M</w:t>
      </w:r>
      <w:r w:rsidR="00795380">
        <w:rPr>
          <w:rFonts w:ascii="Arial" w:hAnsi="Arial" w:cs="Arial"/>
          <w:sz w:val="24"/>
          <w:szCs w:val="24"/>
        </w:rPr>
        <w:t>ore important</w:t>
      </w:r>
      <w:r w:rsidR="007418DB" w:rsidRPr="00041397">
        <w:rPr>
          <w:rFonts w:ascii="Arial" w:hAnsi="Arial" w:cs="Arial"/>
          <w:sz w:val="24"/>
          <w:szCs w:val="24"/>
        </w:rPr>
        <w:t xml:space="preserve"> is the fact that, </w:t>
      </w:r>
      <w:r w:rsidR="007418DB" w:rsidRPr="00041397">
        <w:rPr>
          <w:rFonts w:ascii="Arial" w:hAnsi="Arial" w:cs="Arial"/>
          <w:iCs/>
          <w:sz w:val="24"/>
          <w:szCs w:val="24"/>
        </w:rPr>
        <w:t>our national priorities are all embedded in all the aspirations and goals of the Agenda 2063.</w:t>
      </w:r>
    </w:p>
    <w:p w:rsidR="007418DB" w:rsidRPr="00041397" w:rsidRDefault="00972500" w:rsidP="00133510">
      <w:pPr>
        <w:autoSpaceDE w:val="0"/>
        <w:autoSpaceDN w:val="0"/>
        <w:adjustRightInd w:val="0"/>
        <w:spacing w:after="0" w:line="360" w:lineRule="auto"/>
        <w:jc w:val="both"/>
        <w:rPr>
          <w:rFonts w:ascii="Arial" w:hAnsi="Arial" w:cs="Arial"/>
          <w:sz w:val="24"/>
          <w:szCs w:val="24"/>
        </w:rPr>
      </w:pPr>
      <w:r w:rsidRPr="00041397">
        <w:rPr>
          <w:rFonts w:ascii="Arial" w:hAnsi="Arial" w:cs="Arial"/>
          <w:sz w:val="24"/>
          <w:szCs w:val="24"/>
        </w:rPr>
        <w:t xml:space="preserve"> </w:t>
      </w:r>
      <w:r w:rsidR="003B2720" w:rsidRPr="00041397">
        <w:rPr>
          <w:rFonts w:ascii="Arial" w:hAnsi="Arial" w:cs="Arial"/>
          <w:sz w:val="24"/>
          <w:szCs w:val="24"/>
        </w:rPr>
        <w:t xml:space="preserve"> </w:t>
      </w:r>
    </w:p>
    <w:p w:rsidR="007418DB" w:rsidRPr="00041397" w:rsidRDefault="007418DB" w:rsidP="00133510">
      <w:pPr>
        <w:autoSpaceDE w:val="0"/>
        <w:autoSpaceDN w:val="0"/>
        <w:adjustRightInd w:val="0"/>
        <w:spacing w:after="0" w:line="360" w:lineRule="auto"/>
        <w:jc w:val="both"/>
        <w:rPr>
          <w:rFonts w:ascii="Arial" w:hAnsi="Arial" w:cs="Arial"/>
          <w:sz w:val="24"/>
          <w:szCs w:val="24"/>
        </w:rPr>
      </w:pPr>
    </w:p>
    <w:p w:rsidR="008625B5" w:rsidRPr="007A199D" w:rsidRDefault="003B2720" w:rsidP="00133510">
      <w:pPr>
        <w:autoSpaceDE w:val="0"/>
        <w:autoSpaceDN w:val="0"/>
        <w:adjustRightInd w:val="0"/>
        <w:spacing w:after="0" w:line="360" w:lineRule="auto"/>
        <w:jc w:val="both"/>
        <w:rPr>
          <w:rFonts w:ascii="Arial" w:hAnsi="Arial" w:cs="Arial"/>
          <w:b/>
          <w:bCs/>
          <w:color w:val="4BACC6" w:themeColor="accent5"/>
          <w:sz w:val="24"/>
          <w:szCs w:val="24"/>
        </w:rPr>
      </w:pPr>
      <w:proofErr w:type="gramStart"/>
      <w:r w:rsidRPr="007A199D">
        <w:rPr>
          <w:rFonts w:ascii="Arial" w:hAnsi="Arial" w:cs="Arial"/>
          <w:color w:val="4BACC6" w:themeColor="accent5"/>
          <w:sz w:val="24"/>
          <w:szCs w:val="24"/>
        </w:rPr>
        <w:t>Taking into account</w:t>
      </w:r>
      <w:proofErr w:type="gramEnd"/>
      <w:r w:rsidRPr="007A199D">
        <w:rPr>
          <w:rFonts w:ascii="Arial" w:hAnsi="Arial" w:cs="Arial"/>
          <w:color w:val="4BACC6" w:themeColor="accent5"/>
          <w:sz w:val="24"/>
          <w:szCs w:val="24"/>
        </w:rPr>
        <w:t xml:space="preserve"> the development </w:t>
      </w:r>
      <w:r w:rsidR="00FE7BF4" w:rsidRPr="007A199D">
        <w:rPr>
          <w:rFonts w:ascii="Arial" w:hAnsi="Arial" w:cs="Arial"/>
          <w:color w:val="4BACC6" w:themeColor="accent5"/>
          <w:sz w:val="24"/>
          <w:szCs w:val="24"/>
        </w:rPr>
        <w:t>imperatives</w:t>
      </w:r>
      <w:r w:rsidRPr="007A199D">
        <w:rPr>
          <w:rFonts w:ascii="Arial" w:hAnsi="Arial" w:cs="Arial"/>
          <w:color w:val="4BACC6" w:themeColor="accent5"/>
          <w:sz w:val="24"/>
          <w:szCs w:val="24"/>
        </w:rPr>
        <w:t xml:space="preserve"> facing the country, and the need to align the focus of the </w:t>
      </w:r>
      <w:r w:rsidR="00FE7BF4" w:rsidRPr="007A199D">
        <w:rPr>
          <w:rFonts w:ascii="Arial" w:hAnsi="Arial" w:cs="Arial"/>
          <w:color w:val="4BACC6" w:themeColor="accent5"/>
          <w:sz w:val="24"/>
          <w:szCs w:val="24"/>
        </w:rPr>
        <w:t xml:space="preserve">National Development </w:t>
      </w:r>
      <w:r w:rsidRPr="007A199D">
        <w:rPr>
          <w:rFonts w:ascii="Arial" w:hAnsi="Arial" w:cs="Arial"/>
          <w:color w:val="4BACC6" w:themeColor="accent5"/>
          <w:sz w:val="24"/>
          <w:szCs w:val="24"/>
        </w:rPr>
        <w:t xml:space="preserve">Plan with global, continental and regional initiatives such as; the UN’s Sustainable Development Goals, AU Agenda 2063, and the Revised SADC Regional Indicative Strategic Development Plan, NDP 11’s </w:t>
      </w:r>
    </w:p>
    <w:p w:rsidR="008625B5" w:rsidRPr="00041397" w:rsidRDefault="008625B5" w:rsidP="00133510">
      <w:pPr>
        <w:autoSpaceDE w:val="0"/>
        <w:autoSpaceDN w:val="0"/>
        <w:adjustRightInd w:val="0"/>
        <w:spacing w:after="0" w:line="360" w:lineRule="auto"/>
        <w:jc w:val="both"/>
        <w:rPr>
          <w:rFonts w:ascii="Arial" w:hAnsi="Arial" w:cs="Arial"/>
          <w:b/>
          <w:bCs/>
          <w:sz w:val="24"/>
          <w:szCs w:val="24"/>
        </w:rPr>
      </w:pPr>
    </w:p>
    <w:p w:rsidR="003B2720" w:rsidRPr="00133510" w:rsidRDefault="003B2720" w:rsidP="00133510">
      <w:pPr>
        <w:autoSpaceDE w:val="0"/>
        <w:autoSpaceDN w:val="0"/>
        <w:adjustRightInd w:val="0"/>
        <w:spacing w:after="0" w:line="360" w:lineRule="auto"/>
        <w:jc w:val="both"/>
        <w:rPr>
          <w:rFonts w:ascii="Arial" w:hAnsi="Arial" w:cs="Arial"/>
          <w:i/>
          <w:iCs/>
          <w:sz w:val="24"/>
          <w:szCs w:val="24"/>
        </w:rPr>
      </w:pPr>
      <w:r w:rsidRPr="007A199D">
        <w:rPr>
          <w:rFonts w:ascii="Arial" w:hAnsi="Arial" w:cs="Arial"/>
          <w:color w:val="4BACC6" w:themeColor="accent5"/>
          <w:sz w:val="24"/>
          <w:szCs w:val="24"/>
        </w:rPr>
        <w:lastRenderedPageBreak/>
        <w:t xml:space="preserve">This theme </w:t>
      </w:r>
      <w:r w:rsidR="00FE7BF4" w:rsidRPr="007A199D">
        <w:rPr>
          <w:rFonts w:ascii="Arial" w:hAnsi="Arial" w:cs="Arial"/>
          <w:color w:val="4BACC6" w:themeColor="accent5"/>
          <w:sz w:val="24"/>
          <w:szCs w:val="24"/>
        </w:rPr>
        <w:t>is underpinned by</w:t>
      </w:r>
      <w:r w:rsidRPr="007A199D">
        <w:rPr>
          <w:rFonts w:ascii="Arial" w:hAnsi="Arial" w:cs="Arial"/>
          <w:color w:val="4BACC6" w:themeColor="accent5"/>
          <w:sz w:val="24"/>
          <w:szCs w:val="24"/>
        </w:rPr>
        <w:t xml:space="preserve"> six national priorities, namely: </w:t>
      </w:r>
      <w:r w:rsidRPr="007A199D">
        <w:rPr>
          <w:rFonts w:ascii="Arial" w:hAnsi="Arial" w:cs="Arial"/>
          <w:i/>
          <w:iCs/>
          <w:color w:val="4BACC6" w:themeColor="accent5"/>
          <w:sz w:val="24"/>
          <w:szCs w:val="24"/>
        </w:rPr>
        <w:t xml:space="preserve">developing diversified sources of economic growth; human capital development; social development; sustainable use of national resources; consolidation of good governance and strengthening of national security; and implementation of an effective monitoring and evaluation system. </w:t>
      </w:r>
    </w:p>
    <w:p w:rsidR="00035363" w:rsidRPr="00133510" w:rsidRDefault="00035363" w:rsidP="00133510">
      <w:pPr>
        <w:autoSpaceDE w:val="0"/>
        <w:autoSpaceDN w:val="0"/>
        <w:adjustRightInd w:val="0"/>
        <w:spacing w:after="0" w:line="360" w:lineRule="auto"/>
        <w:jc w:val="both"/>
        <w:rPr>
          <w:rFonts w:ascii="Arial" w:eastAsia="Calibri" w:hAnsi="Arial" w:cs="Arial"/>
          <w:sz w:val="24"/>
          <w:szCs w:val="24"/>
        </w:rPr>
      </w:pPr>
    </w:p>
    <w:p w:rsidR="00035363" w:rsidRPr="007A199D" w:rsidRDefault="00035363" w:rsidP="00133510">
      <w:pPr>
        <w:autoSpaceDE w:val="0"/>
        <w:autoSpaceDN w:val="0"/>
        <w:adjustRightInd w:val="0"/>
        <w:spacing w:after="0" w:line="360" w:lineRule="auto"/>
        <w:jc w:val="both"/>
        <w:rPr>
          <w:rFonts w:ascii="Arial" w:eastAsia="Calibri" w:hAnsi="Arial" w:cs="Arial"/>
          <w:color w:val="4BACC6" w:themeColor="accent5"/>
          <w:sz w:val="24"/>
          <w:szCs w:val="24"/>
        </w:rPr>
      </w:pPr>
      <w:r w:rsidRPr="007A199D">
        <w:rPr>
          <w:rFonts w:ascii="Arial" w:eastAsia="Calibri" w:hAnsi="Arial" w:cs="Arial"/>
          <w:color w:val="4BACC6" w:themeColor="accent5"/>
          <w:sz w:val="24"/>
          <w:szCs w:val="24"/>
        </w:rPr>
        <w:t xml:space="preserve">Furthermore, there is an attempt made to mainstream the aspiration of the agenda into the National development frameworks. All stakeholders (Thematic Working groups, District </w:t>
      </w:r>
      <w:proofErr w:type="spellStart"/>
      <w:r w:rsidRPr="007A199D">
        <w:rPr>
          <w:rFonts w:ascii="Arial" w:eastAsia="Calibri" w:hAnsi="Arial" w:cs="Arial"/>
          <w:color w:val="4BACC6" w:themeColor="accent5"/>
          <w:sz w:val="24"/>
          <w:szCs w:val="24"/>
        </w:rPr>
        <w:t>Programme</w:t>
      </w:r>
      <w:proofErr w:type="spellEnd"/>
      <w:r w:rsidRPr="007A199D">
        <w:rPr>
          <w:rFonts w:ascii="Arial" w:eastAsia="Calibri" w:hAnsi="Arial" w:cs="Arial"/>
          <w:color w:val="4BACC6" w:themeColor="accent5"/>
          <w:sz w:val="24"/>
          <w:szCs w:val="24"/>
        </w:rPr>
        <w:t xml:space="preserve"> Officers and Planners) would be involved in crafting these frameworks to align with the goals and targets of Agenda 2063, for implementation purposes. The agenda is mapped against NDP 11 and Vision 2036, with the plan to design national projects and budgets that are cognizant of the </w:t>
      </w:r>
      <w:proofErr w:type="gramStart"/>
      <w:r w:rsidRPr="007A199D">
        <w:rPr>
          <w:rFonts w:ascii="Arial" w:eastAsia="Calibri" w:hAnsi="Arial" w:cs="Arial"/>
          <w:color w:val="4BACC6" w:themeColor="accent5"/>
          <w:sz w:val="24"/>
          <w:szCs w:val="24"/>
        </w:rPr>
        <w:t>spelled out</w:t>
      </w:r>
      <w:proofErr w:type="gramEnd"/>
      <w:r w:rsidRPr="007A199D">
        <w:rPr>
          <w:rFonts w:ascii="Arial" w:eastAsia="Calibri" w:hAnsi="Arial" w:cs="Arial"/>
          <w:color w:val="4BACC6" w:themeColor="accent5"/>
          <w:sz w:val="24"/>
          <w:szCs w:val="24"/>
        </w:rPr>
        <w:t xml:space="preserve"> targets and indicators of Agenda 2063.</w:t>
      </w:r>
    </w:p>
    <w:p w:rsidR="009B14BA" w:rsidRPr="00133510" w:rsidRDefault="009B14BA" w:rsidP="00133510">
      <w:pPr>
        <w:autoSpaceDE w:val="0"/>
        <w:autoSpaceDN w:val="0"/>
        <w:adjustRightInd w:val="0"/>
        <w:spacing w:after="0" w:line="360" w:lineRule="auto"/>
        <w:jc w:val="both"/>
        <w:rPr>
          <w:rFonts w:ascii="Arial" w:eastAsia="Calibri" w:hAnsi="Arial" w:cs="Arial"/>
          <w:sz w:val="24"/>
          <w:szCs w:val="24"/>
        </w:rPr>
      </w:pPr>
    </w:p>
    <w:p w:rsidR="00FC1E02" w:rsidRDefault="009B14BA" w:rsidP="00133510">
      <w:pPr>
        <w:autoSpaceDE w:val="0"/>
        <w:autoSpaceDN w:val="0"/>
        <w:adjustRightInd w:val="0"/>
        <w:spacing w:after="0" w:line="360" w:lineRule="auto"/>
        <w:jc w:val="both"/>
        <w:rPr>
          <w:rFonts w:ascii="Arial" w:eastAsia="Calibri" w:hAnsi="Arial" w:cs="Arial"/>
          <w:sz w:val="24"/>
          <w:szCs w:val="24"/>
        </w:rPr>
      </w:pPr>
      <w:r w:rsidRPr="00133510">
        <w:rPr>
          <w:rFonts w:ascii="Arial" w:eastAsia="Calibri" w:hAnsi="Arial" w:cs="Arial"/>
          <w:sz w:val="24"/>
          <w:szCs w:val="24"/>
        </w:rPr>
        <w:t>T</w:t>
      </w:r>
      <w:r w:rsidR="004F6442">
        <w:rPr>
          <w:rFonts w:ascii="Arial" w:eastAsia="Calibri" w:hAnsi="Arial" w:cs="Arial"/>
          <w:sz w:val="24"/>
          <w:szCs w:val="24"/>
        </w:rPr>
        <w:t>he t</w:t>
      </w:r>
      <w:r w:rsidRPr="00133510">
        <w:rPr>
          <w:rFonts w:ascii="Arial" w:eastAsia="Calibri" w:hAnsi="Arial" w:cs="Arial"/>
          <w:sz w:val="24"/>
          <w:szCs w:val="24"/>
        </w:rPr>
        <w:t>abl</w:t>
      </w:r>
      <w:r w:rsidR="004F6442">
        <w:rPr>
          <w:rFonts w:ascii="Arial" w:eastAsia="Calibri" w:hAnsi="Arial" w:cs="Arial"/>
          <w:sz w:val="24"/>
          <w:szCs w:val="24"/>
        </w:rPr>
        <w:t xml:space="preserve">e </w:t>
      </w:r>
      <w:r w:rsidRPr="00133510">
        <w:rPr>
          <w:rFonts w:ascii="Arial" w:eastAsia="Calibri" w:hAnsi="Arial" w:cs="Arial"/>
          <w:sz w:val="24"/>
          <w:szCs w:val="24"/>
        </w:rPr>
        <w:t xml:space="preserve">below shows how Agenda 2063 is linked with other national priorities. </w:t>
      </w:r>
      <w:r w:rsidR="00044177" w:rsidRPr="00133510">
        <w:rPr>
          <w:rFonts w:ascii="Arial" w:eastAsia="Calibri" w:hAnsi="Arial" w:cs="Arial"/>
          <w:sz w:val="24"/>
          <w:szCs w:val="24"/>
        </w:rPr>
        <w:t>A</w:t>
      </w:r>
      <w:r w:rsidRPr="00133510">
        <w:rPr>
          <w:rFonts w:ascii="Arial" w:eastAsia="Calibri" w:hAnsi="Arial" w:cs="Arial"/>
          <w:sz w:val="24"/>
          <w:szCs w:val="24"/>
        </w:rPr>
        <w:t xml:space="preserve">spiration </w:t>
      </w:r>
      <w:r w:rsidR="004F6442">
        <w:rPr>
          <w:rFonts w:ascii="Arial" w:eastAsia="Calibri" w:hAnsi="Arial" w:cs="Arial"/>
          <w:sz w:val="24"/>
          <w:szCs w:val="24"/>
        </w:rPr>
        <w:t>five (</w:t>
      </w:r>
      <w:r w:rsidRPr="00133510">
        <w:rPr>
          <w:rFonts w:ascii="Arial" w:eastAsia="Calibri" w:hAnsi="Arial" w:cs="Arial"/>
          <w:sz w:val="24"/>
          <w:szCs w:val="24"/>
        </w:rPr>
        <w:t>5</w:t>
      </w:r>
      <w:r w:rsidR="004F6442">
        <w:rPr>
          <w:rFonts w:ascii="Arial" w:eastAsia="Calibri" w:hAnsi="Arial" w:cs="Arial"/>
          <w:sz w:val="24"/>
          <w:szCs w:val="24"/>
        </w:rPr>
        <w:t xml:space="preserve">) in particular, </w:t>
      </w:r>
      <w:r w:rsidR="004F6442" w:rsidRPr="007A199D">
        <w:rPr>
          <w:rFonts w:ascii="Arial" w:eastAsia="Calibri" w:hAnsi="Arial" w:cs="Arial"/>
          <w:i/>
          <w:sz w:val="24"/>
          <w:szCs w:val="24"/>
        </w:rPr>
        <w:t>“</w:t>
      </w:r>
      <w:r w:rsidRPr="007A199D">
        <w:rPr>
          <w:rFonts w:ascii="Arial" w:eastAsia="Calibri" w:hAnsi="Arial" w:cs="Arial"/>
          <w:i/>
          <w:sz w:val="24"/>
          <w:szCs w:val="24"/>
        </w:rPr>
        <w:t>Africa with a strong cultural identity, common heritage, values and ethics</w:t>
      </w:r>
      <w:r w:rsidR="004F6442" w:rsidRPr="007A199D">
        <w:rPr>
          <w:rFonts w:ascii="Arial" w:eastAsia="Calibri" w:hAnsi="Arial" w:cs="Arial"/>
          <w:i/>
          <w:sz w:val="24"/>
          <w:szCs w:val="24"/>
        </w:rPr>
        <w:t>”</w:t>
      </w:r>
      <w:r w:rsidRPr="00133510">
        <w:rPr>
          <w:rFonts w:ascii="Arial" w:eastAsia="Calibri" w:hAnsi="Arial" w:cs="Arial"/>
          <w:sz w:val="24"/>
          <w:szCs w:val="24"/>
        </w:rPr>
        <w:t xml:space="preserve"> </w:t>
      </w:r>
      <w:r w:rsidR="004F6442">
        <w:rPr>
          <w:rFonts w:ascii="Arial" w:eastAsia="Calibri" w:hAnsi="Arial" w:cs="Arial"/>
          <w:sz w:val="24"/>
          <w:szCs w:val="24"/>
        </w:rPr>
        <w:t>does not have a stand-alone priority nationally, instead it falls within the national principles and values that Botswana was built upon since independence. Additionally,</w:t>
      </w:r>
      <w:r w:rsidRPr="00133510">
        <w:rPr>
          <w:rFonts w:ascii="Arial" w:eastAsia="Calibri" w:hAnsi="Arial" w:cs="Arial"/>
          <w:sz w:val="24"/>
          <w:szCs w:val="24"/>
        </w:rPr>
        <w:t xml:space="preserve"> it </w:t>
      </w:r>
      <w:r w:rsidR="004F6442">
        <w:rPr>
          <w:rFonts w:ascii="Arial" w:eastAsia="Calibri" w:hAnsi="Arial" w:cs="Arial"/>
          <w:sz w:val="24"/>
          <w:szCs w:val="24"/>
        </w:rPr>
        <w:t xml:space="preserve">is </w:t>
      </w:r>
      <w:r w:rsidRPr="00133510">
        <w:rPr>
          <w:rFonts w:ascii="Arial" w:eastAsia="Calibri" w:hAnsi="Arial" w:cs="Arial"/>
          <w:sz w:val="24"/>
          <w:szCs w:val="24"/>
        </w:rPr>
        <w:t>linked with the first ‘P’ that deals with people.</w:t>
      </w:r>
    </w:p>
    <w:p w:rsidR="0034221D" w:rsidRPr="00133510" w:rsidRDefault="0034221D" w:rsidP="00133510">
      <w:pPr>
        <w:autoSpaceDE w:val="0"/>
        <w:autoSpaceDN w:val="0"/>
        <w:adjustRightInd w:val="0"/>
        <w:spacing w:after="0" w:line="360" w:lineRule="auto"/>
        <w:jc w:val="both"/>
        <w:rPr>
          <w:rFonts w:ascii="Arial" w:eastAsia="Calibri" w:hAnsi="Arial" w:cs="Arial"/>
          <w:sz w:val="24"/>
          <w:szCs w:val="24"/>
        </w:rPr>
      </w:pPr>
    </w:p>
    <w:p w:rsidR="00E04B43" w:rsidRDefault="00E04B43" w:rsidP="00CA7A46">
      <w:pPr>
        <w:autoSpaceDE w:val="0"/>
        <w:autoSpaceDN w:val="0"/>
        <w:adjustRightInd w:val="0"/>
        <w:spacing w:after="0"/>
        <w:jc w:val="both"/>
        <w:rPr>
          <w:rFonts w:ascii="Tahoma" w:eastAsia="Calibri" w:hAnsi="Tahoma" w:cs="Tahoma"/>
          <w:b/>
          <w:sz w:val="24"/>
          <w:szCs w:val="24"/>
        </w:rPr>
      </w:pPr>
    </w:p>
    <w:p w:rsidR="006A4EE9" w:rsidRPr="007826B5" w:rsidRDefault="004F6442" w:rsidP="00CA7A46">
      <w:pPr>
        <w:autoSpaceDE w:val="0"/>
        <w:autoSpaceDN w:val="0"/>
        <w:adjustRightInd w:val="0"/>
        <w:spacing w:after="0"/>
        <w:jc w:val="both"/>
        <w:rPr>
          <w:rFonts w:ascii="Arial" w:eastAsia="Calibri" w:hAnsi="Arial" w:cs="Arial"/>
          <w:b/>
          <w:sz w:val="24"/>
          <w:szCs w:val="24"/>
        </w:rPr>
      </w:pPr>
      <w:r>
        <w:rPr>
          <w:rFonts w:ascii="Arial" w:eastAsia="Calibri" w:hAnsi="Arial" w:cs="Arial"/>
          <w:b/>
          <w:sz w:val="24"/>
          <w:szCs w:val="24"/>
        </w:rPr>
        <w:t>T</w:t>
      </w:r>
      <w:r w:rsidR="006A4EE9" w:rsidRPr="007826B5">
        <w:rPr>
          <w:rFonts w:ascii="Arial" w:eastAsia="Calibri" w:hAnsi="Arial" w:cs="Arial"/>
          <w:b/>
          <w:sz w:val="24"/>
          <w:szCs w:val="24"/>
        </w:rPr>
        <w:t>he linkages between Agenda 2063 aspirations and priorities of the national Frameworks</w:t>
      </w:r>
    </w:p>
    <w:p w:rsidR="009B14BA" w:rsidRPr="00CA7A46" w:rsidRDefault="009B14BA" w:rsidP="00CA7A46">
      <w:pPr>
        <w:autoSpaceDE w:val="0"/>
        <w:autoSpaceDN w:val="0"/>
        <w:adjustRightInd w:val="0"/>
        <w:spacing w:after="0"/>
        <w:jc w:val="both"/>
        <w:rPr>
          <w:rFonts w:ascii="Tahoma" w:eastAsia="Calibri" w:hAnsi="Tahoma" w:cs="Tahoma"/>
          <w:b/>
          <w:sz w:val="24"/>
          <w:szCs w:val="24"/>
        </w:rPr>
      </w:pPr>
    </w:p>
    <w:tbl>
      <w:tblPr>
        <w:tblStyle w:val="GridTable5Dark-Accent1"/>
        <w:tblW w:w="10440" w:type="dxa"/>
        <w:tblInd w:w="-545" w:type="dxa"/>
        <w:tblLook w:val="04A0" w:firstRow="1" w:lastRow="0" w:firstColumn="1" w:lastColumn="0" w:noHBand="0" w:noVBand="1"/>
      </w:tblPr>
      <w:tblGrid>
        <w:gridCol w:w="1565"/>
        <w:gridCol w:w="1330"/>
        <w:gridCol w:w="1330"/>
        <w:gridCol w:w="1304"/>
        <w:gridCol w:w="1508"/>
        <w:gridCol w:w="1513"/>
        <w:gridCol w:w="1890"/>
      </w:tblGrid>
      <w:tr w:rsidR="00CA7A46" w:rsidRPr="00CA7A46" w:rsidTr="009B14BA">
        <w:trPr>
          <w:cnfStyle w:val="100000000000" w:firstRow="1" w:lastRow="0" w:firstColumn="0" w:lastColumn="0" w:oddVBand="0" w:evenVBand="0" w:oddHBand="0"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1565" w:type="dxa"/>
            <w:tcBorders>
              <w:right w:val="single" w:sz="4" w:space="0" w:color="auto"/>
            </w:tcBorders>
          </w:tcPr>
          <w:p w:rsidR="00CA7A46" w:rsidRPr="00CA7A46" w:rsidRDefault="00CA7A46" w:rsidP="00CA7A46">
            <w:pPr>
              <w:jc w:val="center"/>
              <w:rPr>
                <w:rFonts w:ascii="Times New Roman" w:eastAsia="Times New Roman" w:hAnsi="Times New Roman" w:cs="Times New Roman"/>
                <w:color w:val="FFFFFF"/>
                <w:kern w:val="24"/>
                <w:sz w:val="20"/>
                <w:szCs w:val="24"/>
                <w:lang w:val="en-GB"/>
              </w:rPr>
            </w:pPr>
            <w:r w:rsidRPr="00CA7A46">
              <w:rPr>
                <w:rFonts w:ascii="Times New Roman" w:eastAsia="Times New Roman" w:hAnsi="Times New Roman" w:cs="Times New Roman"/>
                <w:color w:val="FFFFFF"/>
                <w:kern w:val="24"/>
                <w:sz w:val="20"/>
                <w:szCs w:val="24"/>
                <w:lang w:val="en-GB"/>
              </w:rPr>
              <w:t>Agenda 2063 Aspirations</w:t>
            </w:r>
          </w:p>
        </w:tc>
        <w:tc>
          <w:tcPr>
            <w:tcW w:w="0" w:type="auto"/>
            <w:gridSpan w:val="2"/>
            <w:tcBorders>
              <w:left w:val="single" w:sz="4" w:space="0" w:color="auto"/>
              <w:right w:val="single" w:sz="4" w:space="0" w:color="auto"/>
            </w:tcBorders>
          </w:tcPr>
          <w:p w:rsidR="00CA7A46" w:rsidRPr="00CA7A46" w:rsidRDefault="00CA7A46" w:rsidP="00CA7A4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24"/>
                <w:sz w:val="20"/>
                <w:szCs w:val="24"/>
                <w:lang w:val="en-GB"/>
              </w:rPr>
            </w:pPr>
            <w:r w:rsidRPr="00CA7A46">
              <w:rPr>
                <w:rFonts w:ascii="Times New Roman" w:eastAsia="Times New Roman" w:hAnsi="Times New Roman" w:cs="Times New Roman"/>
                <w:color w:val="000000"/>
                <w:kern w:val="24"/>
                <w:sz w:val="20"/>
                <w:szCs w:val="24"/>
                <w:lang w:val="en-GB"/>
              </w:rPr>
              <w:t>1,5,6</w:t>
            </w:r>
          </w:p>
        </w:tc>
        <w:tc>
          <w:tcPr>
            <w:tcW w:w="0" w:type="auto"/>
            <w:tcBorders>
              <w:left w:val="single" w:sz="4" w:space="0" w:color="auto"/>
              <w:right w:val="single" w:sz="4" w:space="0" w:color="auto"/>
            </w:tcBorders>
          </w:tcPr>
          <w:p w:rsidR="00CA7A46" w:rsidRPr="00CA7A46" w:rsidRDefault="00CA7A46" w:rsidP="00CA7A4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24"/>
                <w:sz w:val="20"/>
                <w:szCs w:val="24"/>
                <w:lang w:val="en-GB"/>
              </w:rPr>
            </w:pPr>
          </w:p>
        </w:tc>
        <w:tc>
          <w:tcPr>
            <w:tcW w:w="0" w:type="auto"/>
            <w:tcBorders>
              <w:left w:val="single" w:sz="4" w:space="0" w:color="auto"/>
              <w:right w:val="single" w:sz="4" w:space="0" w:color="auto"/>
            </w:tcBorders>
          </w:tcPr>
          <w:p w:rsidR="00CA7A46" w:rsidRPr="00CA7A46" w:rsidRDefault="00CA7A46" w:rsidP="00CA7A4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24"/>
                <w:sz w:val="20"/>
                <w:szCs w:val="24"/>
                <w:lang w:val="en-GB"/>
              </w:rPr>
            </w:pPr>
            <w:r w:rsidRPr="00CA7A46">
              <w:rPr>
                <w:rFonts w:ascii="Times New Roman" w:eastAsia="Times New Roman" w:hAnsi="Times New Roman" w:cs="Times New Roman"/>
                <w:color w:val="000000"/>
                <w:kern w:val="24"/>
                <w:sz w:val="20"/>
                <w:szCs w:val="24"/>
                <w:lang w:val="en-GB"/>
              </w:rPr>
              <w:t>2</w:t>
            </w:r>
          </w:p>
        </w:tc>
        <w:tc>
          <w:tcPr>
            <w:tcW w:w="1513" w:type="dxa"/>
            <w:tcBorders>
              <w:left w:val="single" w:sz="4" w:space="0" w:color="auto"/>
              <w:right w:val="single" w:sz="4" w:space="0" w:color="auto"/>
            </w:tcBorders>
          </w:tcPr>
          <w:p w:rsidR="00CA7A46" w:rsidRPr="00CA7A46" w:rsidRDefault="00CA7A46" w:rsidP="00CA7A4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24"/>
                <w:sz w:val="20"/>
                <w:szCs w:val="24"/>
                <w:lang w:val="en-GB"/>
              </w:rPr>
            </w:pPr>
            <w:r w:rsidRPr="00CA7A46">
              <w:rPr>
                <w:rFonts w:ascii="Times New Roman" w:eastAsia="Times New Roman" w:hAnsi="Times New Roman" w:cs="Times New Roman"/>
                <w:color w:val="000000"/>
                <w:kern w:val="24"/>
                <w:sz w:val="20"/>
                <w:szCs w:val="24"/>
                <w:lang w:val="en-GB"/>
              </w:rPr>
              <w:t>3,4</w:t>
            </w:r>
          </w:p>
        </w:tc>
        <w:tc>
          <w:tcPr>
            <w:tcW w:w="1890" w:type="dxa"/>
            <w:tcBorders>
              <w:left w:val="single" w:sz="4" w:space="0" w:color="auto"/>
            </w:tcBorders>
          </w:tcPr>
          <w:p w:rsidR="00CA7A46" w:rsidRPr="00CA7A46" w:rsidRDefault="00CA7A46" w:rsidP="00CA7A4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24"/>
                <w:sz w:val="20"/>
                <w:szCs w:val="24"/>
                <w:lang w:val="en-GB"/>
              </w:rPr>
            </w:pPr>
            <w:r w:rsidRPr="00CA7A46">
              <w:rPr>
                <w:rFonts w:ascii="Times New Roman" w:eastAsia="Times New Roman" w:hAnsi="Times New Roman" w:cs="Times New Roman"/>
                <w:color w:val="000000"/>
                <w:kern w:val="24"/>
                <w:sz w:val="20"/>
                <w:szCs w:val="24"/>
                <w:lang w:val="en-GB"/>
              </w:rPr>
              <w:t>7</w:t>
            </w:r>
          </w:p>
        </w:tc>
      </w:tr>
      <w:tr w:rsidR="00CA7A46" w:rsidRPr="00CA7A46" w:rsidTr="006A4EE9">
        <w:trPr>
          <w:cnfStyle w:val="000000100000" w:firstRow="0" w:lastRow="0" w:firstColumn="0" w:lastColumn="0" w:oddVBand="0" w:evenVBand="0" w:oddHBand="1" w:evenHBand="0" w:firstRowFirstColumn="0" w:firstRowLastColumn="0" w:lastRowFirstColumn="0" w:lastRowLastColumn="0"/>
          <w:trHeight w:val="1637"/>
        </w:trPr>
        <w:tc>
          <w:tcPr>
            <w:cnfStyle w:val="001000000000" w:firstRow="0" w:lastRow="0" w:firstColumn="1" w:lastColumn="0" w:oddVBand="0" w:evenVBand="0" w:oddHBand="0" w:evenHBand="0" w:firstRowFirstColumn="0" w:firstRowLastColumn="0" w:lastRowFirstColumn="0" w:lastRowLastColumn="0"/>
            <w:tcW w:w="1565" w:type="dxa"/>
            <w:tcBorders>
              <w:right w:val="single" w:sz="4" w:space="0" w:color="auto"/>
            </w:tcBorders>
            <w:hideMark/>
          </w:tcPr>
          <w:p w:rsidR="00FC1E02" w:rsidRPr="00CA7A46" w:rsidRDefault="00FC1E02" w:rsidP="00CA7A46">
            <w:pPr>
              <w:jc w:val="center"/>
              <w:rPr>
                <w:rFonts w:ascii="Times New Roman" w:eastAsia="Times New Roman" w:hAnsi="Times New Roman" w:cs="Times New Roman"/>
                <w:sz w:val="20"/>
                <w:szCs w:val="24"/>
              </w:rPr>
            </w:pPr>
            <w:r w:rsidRPr="00CA7A46">
              <w:rPr>
                <w:rFonts w:ascii="Times New Roman" w:eastAsia="Times New Roman" w:hAnsi="Times New Roman" w:cs="Times New Roman"/>
                <w:color w:val="FFFFFF"/>
                <w:kern w:val="24"/>
                <w:sz w:val="20"/>
                <w:szCs w:val="24"/>
                <w:lang w:val="en-GB"/>
              </w:rPr>
              <w:t>The Five (5) P’s</w:t>
            </w:r>
          </w:p>
        </w:tc>
        <w:tc>
          <w:tcPr>
            <w:tcW w:w="0" w:type="auto"/>
            <w:gridSpan w:val="2"/>
            <w:tcBorders>
              <w:left w:val="single" w:sz="4" w:space="0" w:color="auto"/>
              <w:right w:val="single" w:sz="4" w:space="0" w:color="auto"/>
            </w:tcBorders>
            <w:hideMark/>
          </w:tcPr>
          <w:p w:rsidR="00FC1E02" w:rsidRPr="00CA7A46" w:rsidRDefault="00FC1E02" w:rsidP="00CA7A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4"/>
              </w:rPr>
            </w:pPr>
            <w:r w:rsidRPr="00CA7A46">
              <w:rPr>
                <w:rFonts w:ascii="Times New Roman" w:eastAsia="Times New Roman" w:hAnsi="Times New Roman" w:cs="Times New Roman"/>
                <w:color w:val="FFFFFF"/>
                <w:kern w:val="24"/>
                <w:sz w:val="20"/>
                <w:szCs w:val="24"/>
                <w:lang w:val="en-GB"/>
              </w:rPr>
              <w:t>People</w:t>
            </w:r>
          </w:p>
          <w:p w:rsidR="00FC1E02" w:rsidRPr="00CA7A46" w:rsidRDefault="00FC1E02" w:rsidP="00CA7A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4"/>
              </w:rPr>
            </w:pPr>
            <w:r w:rsidRPr="00CA7A46">
              <w:rPr>
                <w:rFonts w:ascii="Times New Roman" w:eastAsia="Times New Roman" w:hAnsi="Times New Roman" w:cs="Times New Roman"/>
                <w:color w:val="FFFFFF"/>
                <w:kern w:val="24"/>
                <w:sz w:val="20"/>
                <w:szCs w:val="24"/>
                <w:lang w:val="en-GB"/>
              </w:rPr>
              <w:t>End Poverty &amp; Fight Inequality, Ensure Healthy lives, Knowledge, Inclusion of Women &amp; Children</w:t>
            </w:r>
          </w:p>
          <w:p w:rsidR="00FC1E02" w:rsidRPr="00CA7A46" w:rsidRDefault="00FC1E02" w:rsidP="00CA7A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4"/>
              </w:rPr>
            </w:pPr>
            <w:r w:rsidRPr="00CA7A46">
              <w:rPr>
                <w:rFonts w:ascii="Times New Roman" w:eastAsia="Times New Roman" w:hAnsi="Times New Roman" w:cs="Times New Roman"/>
                <w:color w:val="FFFFFF"/>
                <w:kern w:val="24"/>
                <w:sz w:val="20"/>
                <w:szCs w:val="24"/>
                <w:lang w:val="en-GB"/>
              </w:rPr>
              <w:t> </w:t>
            </w:r>
          </w:p>
        </w:tc>
        <w:tc>
          <w:tcPr>
            <w:tcW w:w="0" w:type="auto"/>
            <w:tcBorders>
              <w:left w:val="single" w:sz="4" w:space="0" w:color="auto"/>
              <w:right w:val="single" w:sz="4" w:space="0" w:color="auto"/>
            </w:tcBorders>
            <w:hideMark/>
          </w:tcPr>
          <w:p w:rsidR="00FC1E02" w:rsidRPr="00CA7A46" w:rsidRDefault="00FC1E02" w:rsidP="00CA7A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4"/>
              </w:rPr>
            </w:pPr>
            <w:r w:rsidRPr="00CA7A46">
              <w:rPr>
                <w:rFonts w:ascii="Times New Roman" w:eastAsia="Times New Roman" w:hAnsi="Times New Roman" w:cs="Times New Roman"/>
                <w:color w:val="FFFFFF"/>
                <w:kern w:val="24"/>
                <w:sz w:val="20"/>
                <w:szCs w:val="24"/>
                <w:lang w:val="en-GB"/>
              </w:rPr>
              <w:t>Planet</w:t>
            </w:r>
          </w:p>
          <w:p w:rsidR="00FC1E02" w:rsidRPr="00CA7A46" w:rsidRDefault="00FC1E02" w:rsidP="00CA7A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4"/>
              </w:rPr>
            </w:pPr>
            <w:r w:rsidRPr="00CA7A46">
              <w:rPr>
                <w:rFonts w:ascii="Times New Roman" w:eastAsia="Times New Roman" w:hAnsi="Times New Roman" w:cs="Times New Roman"/>
                <w:color w:val="FFFFFF"/>
                <w:kern w:val="24"/>
                <w:sz w:val="20"/>
                <w:szCs w:val="24"/>
                <w:lang w:val="en-GB"/>
              </w:rPr>
              <w:t>Protect our Ecosystem for All Societies &amp; Our Children</w:t>
            </w:r>
          </w:p>
        </w:tc>
        <w:tc>
          <w:tcPr>
            <w:tcW w:w="0" w:type="auto"/>
            <w:tcBorders>
              <w:left w:val="single" w:sz="4" w:space="0" w:color="auto"/>
              <w:right w:val="single" w:sz="4" w:space="0" w:color="auto"/>
            </w:tcBorders>
            <w:hideMark/>
          </w:tcPr>
          <w:p w:rsidR="00FC1E02" w:rsidRPr="00CA7A46" w:rsidRDefault="00FC1E02" w:rsidP="00CA7A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4"/>
              </w:rPr>
            </w:pPr>
            <w:r w:rsidRPr="00CA7A46">
              <w:rPr>
                <w:rFonts w:ascii="Times New Roman" w:eastAsia="Times New Roman" w:hAnsi="Times New Roman" w:cs="Times New Roman"/>
                <w:color w:val="FFFFFF"/>
                <w:kern w:val="24"/>
                <w:sz w:val="20"/>
                <w:szCs w:val="24"/>
                <w:lang w:val="en-GB"/>
              </w:rPr>
              <w:t>Prosperity</w:t>
            </w:r>
          </w:p>
          <w:p w:rsidR="00FC1E02" w:rsidRPr="00CA7A46" w:rsidRDefault="00FC1E02" w:rsidP="00CA7A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4"/>
              </w:rPr>
            </w:pPr>
            <w:r w:rsidRPr="00CA7A46">
              <w:rPr>
                <w:rFonts w:ascii="Times New Roman" w:eastAsia="Times New Roman" w:hAnsi="Times New Roman" w:cs="Times New Roman"/>
                <w:color w:val="FFFFFF"/>
                <w:kern w:val="24"/>
                <w:sz w:val="20"/>
                <w:szCs w:val="24"/>
                <w:lang w:val="en-GB"/>
              </w:rPr>
              <w:t>Grow Strong Inclusive &amp; Transformative Economy</w:t>
            </w:r>
          </w:p>
        </w:tc>
        <w:tc>
          <w:tcPr>
            <w:tcW w:w="1513" w:type="dxa"/>
            <w:tcBorders>
              <w:left w:val="single" w:sz="4" w:space="0" w:color="auto"/>
              <w:right w:val="single" w:sz="4" w:space="0" w:color="auto"/>
            </w:tcBorders>
            <w:hideMark/>
          </w:tcPr>
          <w:p w:rsidR="00FC1E02" w:rsidRPr="00CA7A46" w:rsidRDefault="00FC1E02" w:rsidP="00CA7A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4"/>
              </w:rPr>
            </w:pPr>
            <w:r w:rsidRPr="00CA7A46">
              <w:rPr>
                <w:rFonts w:ascii="Times New Roman" w:eastAsia="Times New Roman" w:hAnsi="Times New Roman" w:cs="Times New Roman"/>
                <w:color w:val="FFFFFF"/>
                <w:kern w:val="24"/>
                <w:sz w:val="20"/>
                <w:szCs w:val="24"/>
                <w:lang w:val="en-GB"/>
              </w:rPr>
              <w:t>Peace (Justice)</w:t>
            </w:r>
          </w:p>
          <w:p w:rsidR="00FC1E02" w:rsidRPr="00CA7A46" w:rsidRDefault="00FC1E02" w:rsidP="00CA7A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4"/>
              </w:rPr>
            </w:pPr>
            <w:r w:rsidRPr="00CA7A46">
              <w:rPr>
                <w:rFonts w:ascii="Times New Roman" w:eastAsia="Times New Roman" w:hAnsi="Times New Roman" w:cs="Times New Roman"/>
                <w:color w:val="FFFFFF"/>
                <w:kern w:val="24"/>
                <w:sz w:val="20"/>
                <w:szCs w:val="24"/>
                <w:lang w:val="en-GB"/>
              </w:rPr>
              <w:t>Promote Safe &amp; Peaceful Societies &amp; Strong Institutions</w:t>
            </w:r>
          </w:p>
        </w:tc>
        <w:tc>
          <w:tcPr>
            <w:tcW w:w="1890" w:type="dxa"/>
            <w:tcBorders>
              <w:left w:val="single" w:sz="4" w:space="0" w:color="auto"/>
            </w:tcBorders>
            <w:hideMark/>
          </w:tcPr>
          <w:p w:rsidR="00FC1E02" w:rsidRPr="00CA7A46" w:rsidRDefault="00FC1E02" w:rsidP="00CA7A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4"/>
              </w:rPr>
            </w:pPr>
            <w:r w:rsidRPr="00CA7A46">
              <w:rPr>
                <w:rFonts w:ascii="Times New Roman" w:eastAsia="Times New Roman" w:hAnsi="Times New Roman" w:cs="Times New Roman"/>
                <w:color w:val="FFFFFF"/>
                <w:kern w:val="24"/>
                <w:sz w:val="20"/>
                <w:szCs w:val="24"/>
                <w:lang w:val="en-GB"/>
              </w:rPr>
              <w:t>Partnership</w:t>
            </w:r>
          </w:p>
          <w:p w:rsidR="00FC1E02" w:rsidRPr="00CA7A46" w:rsidRDefault="00FC1E02" w:rsidP="00CA7A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4"/>
              </w:rPr>
            </w:pPr>
            <w:r w:rsidRPr="00CA7A46">
              <w:rPr>
                <w:rFonts w:ascii="Times New Roman" w:eastAsia="Times New Roman" w:hAnsi="Times New Roman" w:cs="Times New Roman"/>
                <w:color w:val="FFFFFF"/>
                <w:kern w:val="24"/>
                <w:sz w:val="20"/>
                <w:szCs w:val="24"/>
                <w:lang w:val="en-GB"/>
              </w:rPr>
              <w:t>Catalyse Global Solidarity for Achieving SD</w:t>
            </w:r>
          </w:p>
        </w:tc>
      </w:tr>
      <w:tr w:rsidR="00CA7A46" w:rsidRPr="00CA7A46" w:rsidTr="00BF2A8E">
        <w:trPr>
          <w:trHeight w:val="620"/>
        </w:trPr>
        <w:tc>
          <w:tcPr>
            <w:cnfStyle w:val="001000000000" w:firstRow="0" w:lastRow="0" w:firstColumn="1" w:lastColumn="0" w:oddVBand="0" w:evenVBand="0" w:oddHBand="0" w:evenHBand="0" w:firstRowFirstColumn="0" w:firstRowLastColumn="0" w:lastRowFirstColumn="0" w:lastRowLastColumn="0"/>
            <w:tcW w:w="1565" w:type="dxa"/>
            <w:hideMark/>
          </w:tcPr>
          <w:p w:rsidR="00FC1E02" w:rsidRPr="00CA7A46" w:rsidRDefault="00FC1E02" w:rsidP="00CA7A46">
            <w:pPr>
              <w:jc w:val="center"/>
              <w:rPr>
                <w:rFonts w:ascii="Times New Roman" w:eastAsia="Times New Roman" w:hAnsi="Times New Roman" w:cs="Times New Roman"/>
                <w:sz w:val="20"/>
                <w:szCs w:val="24"/>
              </w:rPr>
            </w:pPr>
            <w:r w:rsidRPr="00CA7A46">
              <w:rPr>
                <w:rFonts w:ascii="Times New Roman" w:eastAsia="Times New Roman" w:hAnsi="Times New Roman" w:cs="Times New Roman"/>
                <w:color w:val="FFFFFF"/>
                <w:kern w:val="24"/>
                <w:sz w:val="20"/>
                <w:szCs w:val="24"/>
                <w:lang w:val="en-GB"/>
              </w:rPr>
              <w:t xml:space="preserve">SDGs (Target 2030) </w:t>
            </w:r>
          </w:p>
        </w:tc>
        <w:tc>
          <w:tcPr>
            <w:tcW w:w="0" w:type="auto"/>
            <w:gridSpan w:val="2"/>
            <w:hideMark/>
          </w:tcPr>
          <w:p w:rsidR="00FC1E02" w:rsidRPr="00CA7A46" w:rsidRDefault="00FC1E02" w:rsidP="00CA7A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rPr>
            </w:pPr>
            <w:r w:rsidRPr="00CA7A46">
              <w:rPr>
                <w:rFonts w:ascii="Times New Roman" w:eastAsia="Times New Roman" w:hAnsi="Times New Roman" w:cs="Times New Roman"/>
                <w:color w:val="000000"/>
                <w:kern w:val="24"/>
                <w:sz w:val="20"/>
                <w:szCs w:val="24"/>
                <w:lang w:val="en-GB"/>
              </w:rPr>
              <w:t>1 2, 3, 4,5</w:t>
            </w:r>
          </w:p>
        </w:tc>
        <w:tc>
          <w:tcPr>
            <w:tcW w:w="0" w:type="auto"/>
            <w:hideMark/>
          </w:tcPr>
          <w:p w:rsidR="00FC1E02" w:rsidRPr="00CA7A46" w:rsidRDefault="00FC1E02" w:rsidP="00CA7A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rPr>
            </w:pPr>
            <w:r w:rsidRPr="00CA7A46">
              <w:rPr>
                <w:rFonts w:ascii="Times New Roman" w:eastAsia="Times New Roman" w:hAnsi="Times New Roman" w:cs="Times New Roman"/>
                <w:color w:val="000000"/>
                <w:kern w:val="24"/>
                <w:sz w:val="20"/>
                <w:szCs w:val="24"/>
                <w:lang w:val="en-GB"/>
              </w:rPr>
              <w:t>6, 12, 13, 14, 15</w:t>
            </w:r>
          </w:p>
        </w:tc>
        <w:tc>
          <w:tcPr>
            <w:tcW w:w="0" w:type="auto"/>
            <w:hideMark/>
          </w:tcPr>
          <w:p w:rsidR="00FC1E02" w:rsidRPr="00CA7A46" w:rsidRDefault="00FC1E02" w:rsidP="00CA7A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rPr>
            </w:pPr>
            <w:r w:rsidRPr="00CA7A46">
              <w:rPr>
                <w:rFonts w:ascii="Times New Roman" w:eastAsia="Times New Roman" w:hAnsi="Times New Roman" w:cs="Times New Roman"/>
                <w:color w:val="000000"/>
                <w:kern w:val="24"/>
                <w:sz w:val="20"/>
                <w:szCs w:val="24"/>
                <w:lang w:val="en-GB"/>
              </w:rPr>
              <w:t>7, 8, 9, 10, 11</w:t>
            </w:r>
          </w:p>
        </w:tc>
        <w:tc>
          <w:tcPr>
            <w:tcW w:w="1513" w:type="dxa"/>
            <w:hideMark/>
          </w:tcPr>
          <w:p w:rsidR="00FC1E02" w:rsidRPr="00CA7A46" w:rsidRDefault="00FC1E02" w:rsidP="00CA7A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rPr>
            </w:pPr>
            <w:r w:rsidRPr="00CA7A46">
              <w:rPr>
                <w:rFonts w:ascii="Times New Roman" w:eastAsia="Times New Roman" w:hAnsi="Times New Roman" w:cs="Times New Roman"/>
                <w:color w:val="000000"/>
                <w:kern w:val="24"/>
                <w:sz w:val="20"/>
                <w:szCs w:val="24"/>
                <w:lang w:val="en-GB"/>
              </w:rPr>
              <w:t>16</w:t>
            </w:r>
          </w:p>
        </w:tc>
        <w:tc>
          <w:tcPr>
            <w:tcW w:w="1890" w:type="dxa"/>
            <w:hideMark/>
          </w:tcPr>
          <w:p w:rsidR="00FC1E02" w:rsidRPr="00CA7A46" w:rsidRDefault="00FC1E02" w:rsidP="00CA7A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rPr>
            </w:pPr>
            <w:r w:rsidRPr="00CA7A46">
              <w:rPr>
                <w:rFonts w:ascii="Times New Roman" w:eastAsia="Times New Roman" w:hAnsi="Times New Roman" w:cs="Times New Roman"/>
                <w:color w:val="000000"/>
                <w:kern w:val="24"/>
                <w:sz w:val="20"/>
                <w:szCs w:val="24"/>
                <w:lang w:val="en-GB"/>
              </w:rPr>
              <w:t>17</w:t>
            </w:r>
          </w:p>
        </w:tc>
      </w:tr>
      <w:tr w:rsidR="00CA7A46" w:rsidRPr="00CA7A46" w:rsidTr="00BF2A8E">
        <w:trPr>
          <w:cnfStyle w:val="000000100000" w:firstRow="0" w:lastRow="0" w:firstColumn="0" w:lastColumn="0" w:oddVBand="0" w:evenVBand="0" w:oddHBand="1" w:evenHBand="0" w:firstRowFirstColumn="0" w:firstRowLastColumn="0" w:lastRowFirstColumn="0" w:lastRowLastColumn="0"/>
          <w:trHeight w:val="1358"/>
        </w:trPr>
        <w:tc>
          <w:tcPr>
            <w:cnfStyle w:val="001000000000" w:firstRow="0" w:lastRow="0" w:firstColumn="1" w:lastColumn="0" w:oddVBand="0" w:evenVBand="0" w:oddHBand="0" w:evenHBand="0" w:firstRowFirstColumn="0" w:firstRowLastColumn="0" w:lastRowFirstColumn="0" w:lastRowLastColumn="0"/>
            <w:tcW w:w="1565" w:type="dxa"/>
            <w:hideMark/>
          </w:tcPr>
          <w:p w:rsidR="00FC1E02" w:rsidRPr="00CA7A46" w:rsidRDefault="00FC1E02" w:rsidP="00CA7A46">
            <w:pPr>
              <w:jc w:val="center"/>
              <w:rPr>
                <w:rFonts w:ascii="Times New Roman" w:eastAsia="Times New Roman" w:hAnsi="Times New Roman" w:cs="Times New Roman"/>
                <w:sz w:val="20"/>
                <w:szCs w:val="24"/>
              </w:rPr>
            </w:pPr>
            <w:r w:rsidRPr="00CA7A46">
              <w:rPr>
                <w:rFonts w:ascii="Times New Roman" w:eastAsia="Times New Roman" w:hAnsi="Times New Roman" w:cs="Times New Roman"/>
                <w:color w:val="FFFFFF"/>
                <w:kern w:val="24"/>
                <w:sz w:val="20"/>
                <w:szCs w:val="24"/>
                <w:lang w:val="en-GB"/>
              </w:rPr>
              <w:lastRenderedPageBreak/>
              <w:t>NDP11 Priorities</w:t>
            </w:r>
          </w:p>
        </w:tc>
        <w:tc>
          <w:tcPr>
            <w:tcW w:w="0" w:type="auto"/>
            <w:hideMark/>
          </w:tcPr>
          <w:p w:rsidR="00FC1E02" w:rsidRPr="00CA7A46" w:rsidRDefault="00FC1E02" w:rsidP="00CA7A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4"/>
              </w:rPr>
            </w:pPr>
            <w:r w:rsidRPr="00CA7A46">
              <w:rPr>
                <w:rFonts w:ascii="Times New Roman" w:eastAsia="Times New Roman" w:hAnsi="Times New Roman" w:cs="Times New Roman"/>
                <w:color w:val="000000"/>
                <w:kern w:val="24"/>
                <w:sz w:val="20"/>
                <w:szCs w:val="24"/>
                <w:lang w:val="en-GB"/>
              </w:rPr>
              <w:t>End Poverty &amp; Fight Inequality</w:t>
            </w:r>
          </w:p>
        </w:tc>
        <w:tc>
          <w:tcPr>
            <w:tcW w:w="0" w:type="auto"/>
            <w:hideMark/>
          </w:tcPr>
          <w:p w:rsidR="00FC1E02" w:rsidRPr="00CA7A46" w:rsidRDefault="00FC1E02" w:rsidP="00CA7A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4"/>
              </w:rPr>
            </w:pPr>
            <w:r w:rsidRPr="00CA7A46">
              <w:rPr>
                <w:rFonts w:ascii="Times New Roman" w:eastAsia="Times New Roman" w:hAnsi="Times New Roman" w:cs="Times New Roman"/>
                <w:color w:val="000000"/>
                <w:kern w:val="24"/>
                <w:sz w:val="20"/>
                <w:szCs w:val="24"/>
                <w:lang w:val="en-GB"/>
              </w:rPr>
              <w:t>Social Development</w:t>
            </w:r>
          </w:p>
        </w:tc>
        <w:tc>
          <w:tcPr>
            <w:tcW w:w="0" w:type="auto"/>
            <w:hideMark/>
          </w:tcPr>
          <w:p w:rsidR="00FC1E02" w:rsidRPr="00CA7A46" w:rsidRDefault="00FC1E02" w:rsidP="00CA7A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4"/>
              </w:rPr>
            </w:pPr>
            <w:r w:rsidRPr="00CA7A46">
              <w:rPr>
                <w:rFonts w:ascii="Times New Roman" w:eastAsia="Times New Roman" w:hAnsi="Times New Roman" w:cs="Times New Roman"/>
                <w:color w:val="000000"/>
                <w:kern w:val="24"/>
                <w:sz w:val="20"/>
                <w:szCs w:val="24"/>
                <w:lang w:val="en-GB"/>
              </w:rPr>
              <w:t>Sustainable Use of Natural Resources</w:t>
            </w:r>
          </w:p>
        </w:tc>
        <w:tc>
          <w:tcPr>
            <w:tcW w:w="0" w:type="auto"/>
            <w:hideMark/>
          </w:tcPr>
          <w:p w:rsidR="00FC1E02" w:rsidRPr="00CA7A46" w:rsidRDefault="00FC1E02" w:rsidP="00CA7A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4"/>
              </w:rPr>
            </w:pPr>
            <w:r w:rsidRPr="00CA7A46">
              <w:rPr>
                <w:rFonts w:ascii="Times New Roman" w:eastAsia="Times New Roman" w:hAnsi="Times New Roman" w:cs="Times New Roman"/>
                <w:color w:val="000000"/>
                <w:kern w:val="24"/>
                <w:sz w:val="20"/>
                <w:szCs w:val="24"/>
                <w:lang w:val="en-GB"/>
              </w:rPr>
              <w:t>Diversified Sources of Economic Growth &amp; Human Capital Development</w:t>
            </w:r>
          </w:p>
        </w:tc>
        <w:tc>
          <w:tcPr>
            <w:tcW w:w="1513" w:type="dxa"/>
            <w:hideMark/>
          </w:tcPr>
          <w:p w:rsidR="00FC1E02" w:rsidRPr="00CA7A46" w:rsidRDefault="00FC1E02" w:rsidP="00CA7A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4"/>
              </w:rPr>
            </w:pPr>
            <w:r w:rsidRPr="00CA7A46">
              <w:rPr>
                <w:rFonts w:ascii="Times New Roman" w:eastAsia="Times New Roman" w:hAnsi="Times New Roman" w:cs="Times New Roman"/>
                <w:color w:val="000000"/>
                <w:kern w:val="24"/>
                <w:sz w:val="20"/>
                <w:szCs w:val="24"/>
                <w:lang w:val="en-GB"/>
              </w:rPr>
              <w:t>Consolidation of Good Governance &amp; Strengthening of National Security</w:t>
            </w:r>
          </w:p>
        </w:tc>
        <w:tc>
          <w:tcPr>
            <w:tcW w:w="1890" w:type="dxa"/>
            <w:hideMark/>
          </w:tcPr>
          <w:p w:rsidR="00FC1E02" w:rsidRPr="00CA7A46" w:rsidRDefault="00FC1E02" w:rsidP="00CA7A4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4"/>
              </w:rPr>
            </w:pPr>
            <w:r w:rsidRPr="00CA7A46">
              <w:rPr>
                <w:rFonts w:ascii="Times New Roman" w:eastAsia="Times New Roman" w:hAnsi="Times New Roman" w:cs="Times New Roman"/>
                <w:color w:val="000000"/>
                <w:kern w:val="24"/>
                <w:sz w:val="20"/>
                <w:szCs w:val="24"/>
                <w:lang w:val="en-GB"/>
              </w:rPr>
              <w:t>Implementation of An Effective Monitoring &amp; Evaluation</w:t>
            </w:r>
          </w:p>
        </w:tc>
      </w:tr>
      <w:tr w:rsidR="00CA7A46" w:rsidRPr="00CA7A46" w:rsidTr="00BF2A8E">
        <w:trPr>
          <w:trHeight w:val="917"/>
        </w:trPr>
        <w:tc>
          <w:tcPr>
            <w:cnfStyle w:val="001000000000" w:firstRow="0" w:lastRow="0" w:firstColumn="1" w:lastColumn="0" w:oddVBand="0" w:evenVBand="0" w:oddHBand="0" w:evenHBand="0" w:firstRowFirstColumn="0" w:firstRowLastColumn="0" w:lastRowFirstColumn="0" w:lastRowLastColumn="0"/>
            <w:tcW w:w="1565" w:type="dxa"/>
            <w:hideMark/>
          </w:tcPr>
          <w:p w:rsidR="00FC1E02" w:rsidRPr="00CA7A46" w:rsidRDefault="00FC1E02" w:rsidP="00CA7A46">
            <w:pPr>
              <w:jc w:val="center"/>
              <w:rPr>
                <w:rFonts w:ascii="Times New Roman" w:eastAsia="Times New Roman" w:hAnsi="Times New Roman" w:cs="Times New Roman"/>
                <w:sz w:val="20"/>
                <w:szCs w:val="24"/>
              </w:rPr>
            </w:pPr>
            <w:r w:rsidRPr="00CA7A46">
              <w:rPr>
                <w:rFonts w:ascii="Times New Roman" w:eastAsia="Times New Roman" w:hAnsi="Times New Roman" w:cs="Times New Roman"/>
                <w:color w:val="FFFFFF"/>
                <w:kern w:val="24"/>
                <w:sz w:val="20"/>
                <w:szCs w:val="24"/>
                <w:lang w:val="en-GB"/>
              </w:rPr>
              <w:t>Vision 2036 Pillars</w:t>
            </w:r>
          </w:p>
        </w:tc>
        <w:tc>
          <w:tcPr>
            <w:tcW w:w="0" w:type="auto"/>
            <w:hideMark/>
          </w:tcPr>
          <w:p w:rsidR="00FC1E02" w:rsidRPr="00CA7A46" w:rsidRDefault="00FC1E02" w:rsidP="00CA7A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rPr>
            </w:pPr>
            <w:r w:rsidRPr="00CA7A46">
              <w:rPr>
                <w:rFonts w:ascii="Times New Roman" w:eastAsia="Times New Roman" w:hAnsi="Times New Roman" w:cs="Times New Roman"/>
                <w:color w:val="000000"/>
                <w:kern w:val="24"/>
                <w:sz w:val="20"/>
                <w:szCs w:val="24"/>
                <w:lang w:val="en-GB"/>
              </w:rPr>
              <w:t>Human and Social Development</w:t>
            </w:r>
          </w:p>
          <w:p w:rsidR="00FC1E02" w:rsidRPr="00CA7A46" w:rsidRDefault="00FC1E02" w:rsidP="00CA7A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rPr>
            </w:pPr>
            <w:r w:rsidRPr="00CA7A46">
              <w:rPr>
                <w:rFonts w:ascii="Times New Roman" w:eastAsia="Times New Roman" w:hAnsi="Times New Roman" w:cs="Times New Roman"/>
                <w:color w:val="000000"/>
                <w:kern w:val="24"/>
                <w:sz w:val="20"/>
                <w:szCs w:val="24"/>
                <w:lang w:val="en-GB"/>
              </w:rPr>
              <w:t>(Pillar 2)</w:t>
            </w:r>
          </w:p>
        </w:tc>
        <w:tc>
          <w:tcPr>
            <w:tcW w:w="0" w:type="auto"/>
            <w:hideMark/>
          </w:tcPr>
          <w:p w:rsidR="00FC1E02" w:rsidRPr="00CA7A46" w:rsidRDefault="00FC1E02" w:rsidP="00CA7A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rPr>
            </w:pPr>
            <w:r w:rsidRPr="00CA7A46">
              <w:rPr>
                <w:rFonts w:ascii="Times New Roman" w:eastAsia="Times New Roman" w:hAnsi="Times New Roman" w:cs="Times New Roman"/>
                <w:color w:val="000000"/>
                <w:kern w:val="24"/>
                <w:sz w:val="20"/>
                <w:szCs w:val="24"/>
                <w:lang w:val="en-GB"/>
              </w:rPr>
              <w:t>Human and Social Development</w:t>
            </w:r>
          </w:p>
          <w:p w:rsidR="00FC1E02" w:rsidRPr="00CA7A46" w:rsidRDefault="00FC1E02" w:rsidP="00CA7A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rPr>
            </w:pPr>
            <w:r w:rsidRPr="00CA7A46">
              <w:rPr>
                <w:rFonts w:ascii="Times New Roman" w:eastAsia="Times New Roman" w:hAnsi="Times New Roman" w:cs="Times New Roman"/>
                <w:color w:val="000000"/>
                <w:kern w:val="24"/>
                <w:sz w:val="20"/>
                <w:szCs w:val="24"/>
                <w:lang w:val="en-GB"/>
              </w:rPr>
              <w:t>(Pillar 2)</w:t>
            </w:r>
          </w:p>
        </w:tc>
        <w:tc>
          <w:tcPr>
            <w:tcW w:w="0" w:type="auto"/>
            <w:hideMark/>
          </w:tcPr>
          <w:p w:rsidR="00FC1E02" w:rsidRPr="00CA7A46" w:rsidRDefault="00FC1E02" w:rsidP="00CA7A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rPr>
            </w:pPr>
            <w:r w:rsidRPr="00CA7A46">
              <w:rPr>
                <w:rFonts w:ascii="Times New Roman" w:eastAsia="Times New Roman" w:hAnsi="Times New Roman" w:cs="Times New Roman"/>
                <w:color w:val="000000"/>
                <w:kern w:val="24"/>
                <w:sz w:val="20"/>
                <w:szCs w:val="24"/>
                <w:lang w:val="en-GB"/>
              </w:rPr>
              <w:t>Sustainable Environment</w:t>
            </w:r>
          </w:p>
          <w:p w:rsidR="00FC1E02" w:rsidRPr="00CA7A46" w:rsidRDefault="00FC1E02" w:rsidP="00CA7A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rPr>
            </w:pPr>
            <w:r w:rsidRPr="00CA7A46">
              <w:rPr>
                <w:rFonts w:ascii="Times New Roman" w:eastAsia="Times New Roman" w:hAnsi="Times New Roman" w:cs="Times New Roman"/>
                <w:color w:val="000000"/>
                <w:kern w:val="24"/>
                <w:sz w:val="20"/>
                <w:szCs w:val="24"/>
                <w:lang w:val="en-GB"/>
              </w:rPr>
              <w:t> </w:t>
            </w:r>
          </w:p>
          <w:p w:rsidR="00FC1E02" w:rsidRPr="00CA7A46" w:rsidRDefault="00FC1E02" w:rsidP="00CA7A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rPr>
            </w:pPr>
            <w:r w:rsidRPr="00CA7A46">
              <w:rPr>
                <w:rFonts w:ascii="Times New Roman" w:eastAsia="Times New Roman" w:hAnsi="Times New Roman" w:cs="Times New Roman"/>
                <w:color w:val="000000"/>
                <w:kern w:val="24"/>
                <w:sz w:val="20"/>
                <w:szCs w:val="24"/>
                <w:lang w:val="en-GB"/>
              </w:rPr>
              <w:t>(Pillar 3)</w:t>
            </w:r>
          </w:p>
        </w:tc>
        <w:tc>
          <w:tcPr>
            <w:tcW w:w="0" w:type="auto"/>
            <w:hideMark/>
          </w:tcPr>
          <w:p w:rsidR="00FC1E02" w:rsidRPr="00CA7A46" w:rsidRDefault="00FC1E02" w:rsidP="00CA7A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rPr>
            </w:pPr>
            <w:r w:rsidRPr="00CA7A46">
              <w:rPr>
                <w:rFonts w:ascii="Times New Roman" w:eastAsia="Times New Roman" w:hAnsi="Times New Roman" w:cs="Times New Roman"/>
                <w:color w:val="000000"/>
                <w:kern w:val="24"/>
                <w:sz w:val="20"/>
                <w:szCs w:val="24"/>
                <w:lang w:val="en-GB"/>
              </w:rPr>
              <w:t>Sustainable Economic</w:t>
            </w:r>
          </w:p>
          <w:p w:rsidR="00FC1E02" w:rsidRPr="00CA7A46" w:rsidRDefault="00FC1E02" w:rsidP="00CA7A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rPr>
            </w:pPr>
            <w:r w:rsidRPr="00CA7A46">
              <w:rPr>
                <w:rFonts w:ascii="Times New Roman" w:eastAsia="Times New Roman" w:hAnsi="Times New Roman" w:cs="Times New Roman"/>
                <w:color w:val="000000"/>
                <w:kern w:val="24"/>
                <w:sz w:val="20"/>
                <w:szCs w:val="24"/>
                <w:lang w:val="en-GB"/>
              </w:rPr>
              <w:t xml:space="preserve">Development </w:t>
            </w:r>
          </w:p>
          <w:p w:rsidR="00FC1E02" w:rsidRPr="00CA7A46" w:rsidRDefault="00FC1E02" w:rsidP="00CA7A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rPr>
            </w:pPr>
            <w:r w:rsidRPr="00CA7A46">
              <w:rPr>
                <w:rFonts w:ascii="Times New Roman" w:eastAsia="Times New Roman" w:hAnsi="Times New Roman" w:cs="Times New Roman"/>
                <w:color w:val="000000"/>
                <w:kern w:val="24"/>
                <w:sz w:val="20"/>
                <w:szCs w:val="24"/>
                <w:lang w:val="en-GB"/>
              </w:rPr>
              <w:t>(Pillar 1)</w:t>
            </w:r>
          </w:p>
        </w:tc>
        <w:tc>
          <w:tcPr>
            <w:tcW w:w="1513" w:type="dxa"/>
            <w:hideMark/>
          </w:tcPr>
          <w:p w:rsidR="00FC1E02" w:rsidRPr="00CA7A46" w:rsidRDefault="00FC1E02" w:rsidP="00CA7A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rPr>
            </w:pPr>
            <w:r w:rsidRPr="00CA7A46">
              <w:rPr>
                <w:rFonts w:ascii="Times New Roman" w:eastAsia="Times New Roman" w:hAnsi="Times New Roman" w:cs="Times New Roman"/>
                <w:color w:val="000000"/>
                <w:kern w:val="24"/>
                <w:sz w:val="20"/>
                <w:szCs w:val="24"/>
                <w:lang w:val="en-GB"/>
              </w:rPr>
              <w:t>Governance, Safety &amp; Security</w:t>
            </w:r>
          </w:p>
          <w:p w:rsidR="00FC1E02" w:rsidRPr="00CA7A46" w:rsidRDefault="00FC1E02" w:rsidP="00CA7A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rPr>
            </w:pPr>
            <w:r w:rsidRPr="00CA7A46">
              <w:rPr>
                <w:rFonts w:ascii="Times New Roman" w:eastAsia="Times New Roman" w:hAnsi="Times New Roman" w:cs="Times New Roman"/>
                <w:color w:val="000000"/>
                <w:kern w:val="24"/>
                <w:sz w:val="20"/>
                <w:szCs w:val="24"/>
                <w:lang w:val="en-GB"/>
              </w:rPr>
              <w:t>(Pillar 4)</w:t>
            </w:r>
          </w:p>
        </w:tc>
        <w:tc>
          <w:tcPr>
            <w:tcW w:w="1890" w:type="dxa"/>
            <w:hideMark/>
          </w:tcPr>
          <w:p w:rsidR="00FC1E02" w:rsidRPr="00CA7A46" w:rsidRDefault="00FC1E02" w:rsidP="00CA7A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rPr>
            </w:pPr>
            <w:r w:rsidRPr="00CA7A46">
              <w:rPr>
                <w:rFonts w:ascii="Times New Roman" w:eastAsia="Times New Roman" w:hAnsi="Times New Roman" w:cs="Times New Roman"/>
                <w:color w:val="000000"/>
                <w:kern w:val="24"/>
                <w:sz w:val="20"/>
                <w:szCs w:val="24"/>
                <w:lang w:val="en-GB"/>
              </w:rPr>
              <w:t>Governance &amp; Safety &amp; Security</w:t>
            </w:r>
          </w:p>
          <w:p w:rsidR="00FC1E02" w:rsidRPr="00CA7A46" w:rsidRDefault="00FC1E02" w:rsidP="00CA7A4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4"/>
              </w:rPr>
            </w:pPr>
            <w:r w:rsidRPr="00CA7A46">
              <w:rPr>
                <w:rFonts w:ascii="Times New Roman" w:eastAsia="Times New Roman" w:hAnsi="Times New Roman" w:cs="Times New Roman"/>
                <w:color w:val="000000"/>
                <w:kern w:val="24"/>
                <w:sz w:val="20"/>
                <w:szCs w:val="24"/>
                <w:lang w:val="en-GB"/>
              </w:rPr>
              <w:t>(Pillar 4)</w:t>
            </w:r>
          </w:p>
        </w:tc>
      </w:tr>
    </w:tbl>
    <w:p w:rsidR="0034221D" w:rsidRDefault="0034221D">
      <w:pPr>
        <w:rPr>
          <w:rFonts w:ascii="Tahoma" w:hAnsi="Tahoma" w:cs="Tahoma"/>
          <w:iCs/>
          <w:sz w:val="24"/>
          <w:szCs w:val="24"/>
        </w:rPr>
      </w:pPr>
      <w:r>
        <w:rPr>
          <w:rFonts w:ascii="Tahoma" w:hAnsi="Tahoma" w:cs="Tahoma"/>
          <w:iCs/>
          <w:sz w:val="24"/>
          <w:szCs w:val="24"/>
        </w:rPr>
        <w:br w:type="page"/>
      </w:r>
    </w:p>
    <w:p w:rsidR="00133510" w:rsidRPr="00737744" w:rsidRDefault="00133510" w:rsidP="007A199D">
      <w:pPr>
        <w:pStyle w:val="Heading1"/>
        <w:jc w:val="both"/>
        <w:rPr>
          <w:rFonts w:ascii="Arial" w:hAnsi="Arial" w:cs="Arial"/>
          <w:b/>
          <w:color w:val="auto"/>
        </w:rPr>
      </w:pPr>
      <w:r w:rsidRPr="00737744">
        <w:rPr>
          <w:rFonts w:ascii="Arial" w:hAnsi="Arial" w:cs="Arial"/>
          <w:b/>
          <w:color w:val="auto"/>
        </w:rPr>
        <w:lastRenderedPageBreak/>
        <w:t>3.0 Status on the Implementation of Agenda 2063 Goals</w:t>
      </w:r>
    </w:p>
    <w:p w:rsidR="00737744" w:rsidRDefault="00BF2A8E" w:rsidP="007A199D">
      <w:pPr>
        <w:spacing w:line="360" w:lineRule="auto"/>
        <w:jc w:val="both"/>
        <w:rPr>
          <w:rFonts w:ascii="Arial" w:hAnsi="Arial" w:cs="Arial"/>
          <w:sz w:val="24"/>
          <w:szCs w:val="24"/>
        </w:rPr>
      </w:pPr>
      <w:r w:rsidRPr="007A199D">
        <w:rPr>
          <w:rFonts w:ascii="Arial" w:hAnsi="Arial" w:cs="Arial"/>
          <w:sz w:val="24"/>
          <w:szCs w:val="24"/>
        </w:rPr>
        <w:t>For the purposes of this report</w:t>
      </w:r>
      <w:r>
        <w:rPr>
          <w:rFonts w:ascii="Arial" w:hAnsi="Arial" w:cs="Arial"/>
          <w:sz w:val="24"/>
          <w:szCs w:val="24"/>
        </w:rPr>
        <w:t>,</w:t>
      </w:r>
      <w:r w:rsidRPr="007A199D">
        <w:rPr>
          <w:rFonts w:ascii="Arial" w:hAnsi="Arial" w:cs="Arial"/>
          <w:sz w:val="24"/>
          <w:szCs w:val="24"/>
        </w:rPr>
        <w:t xml:space="preserve"> progress </w:t>
      </w:r>
      <w:r>
        <w:rPr>
          <w:rFonts w:ascii="Arial" w:hAnsi="Arial" w:cs="Arial"/>
          <w:sz w:val="24"/>
          <w:szCs w:val="24"/>
        </w:rPr>
        <w:t>on</w:t>
      </w:r>
      <w:r w:rsidRPr="007A199D">
        <w:rPr>
          <w:rFonts w:ascii="Arial" w:hAnsi="Arial" w:cs="Arial"/>
          <w:sz w:val="24"/>
          <w:szCs w:val="24"/>
        </w:rPr>
        <w:t xml:space="preserve"> the FTYIP will mainly focus on</w:t>
      </w:r>
      <w:r>
        <w:rPr>
          <w:rFonts w:ascii="Arial" w:hAnsi="Arial" w:cs="Arial"/>
          <w:sz w:val="24"/>
          <w:szCs w:val="24"/>
        </w:rPr>
        <w:t xml:space="preserve"> some components of</w:t>
      </w:r>
      <w:r w:rsidRPr="007A199D">
        <w:rPr>
          <w:rFonts w:ascii="Arial" w:hAnsi="Arial" w:cs="Arial"/>
          <w:sz w:val="24"/>
          <w:szCs w:val="24"/>
        </w:rPr>
        <w:t xml:space="preserve"> Aspiration One (1), </w:t>
      </w:r>
      <w:r w:rsidRPr="007A199D">
        <w:rPr>
          <w:rFonts w:ascii="Arial" w:hAnsi="Arial" w:cs="Arial"/>
          <w:b/>
          <w:sz w:val="24"/>
          <w:szCs w:val="24"/>
        </w:rPr>
        <w:t>‘A Prosperous Africa, based on Inclusive Growth and Sustainable Development</w:t>
      </w:r>
      <w:r>
        <w:rPr>
          <w:rFonts w:ascii="Arial" w:hAnsi="Arial" w:cs="Arial"/>
          <w:b/>
          <w:sz w:val="24"/>
          <w:szCs w:val="24"/>
        </w:rPr>
        <w:t>.</w:t>
      </w:r>
      <w:r w:rsidRPr="007A199D">
        <w:rPr>
          <w:rFonts w:ascii="Arial" w:hAnsi="Arial" w:cs="Arial"/>
          <w:b/>
          <w:sz w:val="24"/>
          <w:szCs w:val="24"/>
        </w:rPr>
        <w:t xml:space="preserve">’ </w:t>
      </w:r>
      <w:r w:rsidR="006F5502">
        <w:rPr>
          <w:rFonts w:ascii="Arial" w:hAnsi="Arial" w:cs="Arial"/>
          <w:sz w:val="24"/>
          <w:szCs w:val="24"/>
        </w:rPr>
        <w:t xml:space="preserve">Specifically, goals selected are Goals one (1), two (2), three (3), four (4) as well as goals seventeen (17) and eighteen (18) under Aspiration 6 on </w:t>
      </w:r>
      <w:r w:rsidR="006F5502" w:rsidRPr="007A199D">
        <w:rPr>
          <w:rFonts w:ascii="Arial" w:hAnsi="Arial" w:cs="Arial"/>
          <w:i/>
          <w:sz w:val="24"/>
          <w:szCs w:val="24"/>
        </w:rPr>
        <w:t>‘An Africa Whose Development is people driven, relying on the potential offered by African People, especially its Women and Youth, and caring for Children.’</w:t>
      </w:r>
      <w:r w:rsidR="006F5502">
        <w:rPr>
          <w:rFonts w:ascii="Arial" w:hAnsi="Arial" w:cs="Arial"/>
          <w:sz w:val="24"/>
          <w:szCs w:val="24"/>
        </w:rPr>
        <w:t xml:space="preserve"> This is notwithstanding the important contribution </w:t>
      </w:r>
      <w:r w:rsidR="0075531D">
        <w:rPr>
          <w:rFonts w:ascii="Arial" w:hAnsi="Arial" w:cs="Arial"/>
          <w:sz w:val="24"/>
          <w:szCs w:val="24"/>
        </w:rPr>
        <w:t>made by</w:t>
      </w:r>
      <w:r w:rsidR="006F5502">
        <w:rPr>
          <w:rFonts w:ascii="Arial" w:hAnsi="Arial" w:cs="Arial"/>
          <w:sz w:val="24"/>
          <w:szCs w:val="24"/>
        </w:rPr>
        <w:t xml:space="preserve"> the rest of the Agenda 2063 goals.</w:t>
      </w:r>
    </w:p>
    <w:p w:rsidR="006F5502" w:rsidRPr="007A199D" w:rsidRDefault="006F5502" w:rsidP="007A199D">
      <w:pPr>
        <w:jc w:val="both"/>
        <w:rPr>
          <w:rFonts w:ascii="Arial" w:hAnsi="Arial" w:cs="Arial"/>
          <w:sz w:val="24"/>
          <w:szCs w:val="24"/>
        </w:rPr>
      </w:pPr>
    </w:p>
    <w:p w:rsidR="00737744" w:rsidRDefault="00133510" w:rsidP="00737744">
      <w:pPr>
        <w:pStyle w:val="Heading2"/>
        <w:rPr>
          <w:rStyle w:val="Heading2Char"/>
          <w:rFonts w:ascii="Arial" w:hAnsi="Arial" w:cs="Arial"/>
          <w:b/>
          <w:color w:val="auto"/>
          <w:sz w:val="28"/>
          <w:szCs w:val="28"/>
        </w:rPr>
      </w:pPr>
      <w:r w:rsidRPr="007A199D">
        <w:rPr>
          <w:rFonts w:ascii="Arial" w:hAnsi="Arial" w:cs="Arial"/>
          <w:b/>
          <w:color w:val="auto"/>
          <w:sz w:val="28"/>
          <w:szCs w:val="28"/>
        </w:rPr>
        <w:t>3</w:t>
      </w:r>
      <w:r w:rsidRPr="007A199D">
        <w:rPr>
          <w:rStyle w:val="Heading2Char"/>
          <w:rFonts w:ascii="Arial" w:hAnsi="Arial" w:cs="Arial"/>
          <w:b/>
          <w:color w:val="auto"/>
          <w:sz w:val="28"/>
          <w:szCs w:val="28"/>
        </w:rPr>
        <w:t xml:space="preserve">.1 </w:t>
      </w:r>
      <w:r w:rsidR="00D55A5F" w:rsidRPr="007A199D">
        <w:rPr>
          <w:rStyle w:val="Heading2Char"/>
          <w:rFonts w:ascii="Arial" w:hAnsi="Arial" w:cs="Arial"/>
          <w:b/>
          <w:color w:val="auto"/>
          <w:sz w:val="28"/>
          <w:szCs w:val="28"/>
        </w:rPr>
        <w:t>Goal 1</w:t>
      </w:r>
      <w:r w:rsidR="0060407A" w:rsidRPr="007A199D">
        <w:rPr>
          <w:rStyle w:val="Heading2Char"/>
          <w:rFonts w:ascii="Arial" w:hAnsi="Arial" w:cs="Arial"/>
          <w:b/>
          <w:color w:val="auto"/>
          <w:sz w:val="28"/>
          <w:szCs w:val="28"/>
        </w:rPr>
        <w:t>:</w:t>
      </w:r>
      <w:r w:rsidR="00D55A5F" w:rsidRPr="007A199D">
        <w:rPr>
          <w:rStyle w:val="Heading2Char"/>
          <w:rFonts w:ascii="Arial" w:hAnsi="Arial" w:cs="Arial"/>
          <w:b/>
          <w:color w:val="auto"/>
          <w:sz w:val="28"/>
          <w:szCs w:val="28"/>
        </w:rPr>
        <w:t xml:space="preserve"> A High S</w:t>
      </w:r>
      <w:r w:rsidR="00B4561D" w:rsidRPr="007A199D">
        <w:rPr>
          <w:rStyle w:val="Heading2Char"/>
          <w:rFonts w:ascii="Arial" w:hAnsi="Arial" w:cs="Arial"/>
          <w:b/>
          <w:color w:val="auto"/>
          <w:sz w:val="28"/>
          <w:szCs w:val="28"/>
        </w:rPr>
        <w:t xml:space="preserve">tandard of </w:t>
      </w:r>
      <w:r w:rsidR="00D55A5F" w:rsidRPr="007A199D">
        <w:rPr>
          <w:rStyle w:val="Heading2Char"/>
          <w:rFonts w:ascii="Arial" w:hAnsi="Arial" w:cs="Arial"/>
          <w:b/>
          <w:color w:val="auto"/>
          <w:sz w:val="28"/>
          <w:szCs w:val="28"/>
        </w:rPr>
        <w:t>L</w:t>
      </w:r>
      <w:r w:rsidR="00B4561D" w:rsidRPr="007A199D">
        <w:rPr>
          <w:rStyle w:val="Heading2Char"/>
          <w:rFonts w:ascii="Arial" w:hAnsi="Arial" w:cs="Arial"/>
          <w:b/>
          <w:color w:val="auto"/>
          <w:sz w:val="28"/>
          <w:szCs w:val="28"/>
        </w:rPr>
        <w:t xml:space="preserve">iving, Quality of </w:t>
      </w:r>
      <w:r w:rsidR="00D55A5F" w:rsidRPr="007A199D">
        <w:rPr>
          <w:rStyle w:val="Heading2Char"/>
          <w:rFonts w:ascii="Arial" w:hAnsi="Arial" w:cs="Arial"/>
          <w:b/>
          <w:color w:val="auto"/>
          <w:sz w:val="28"/>
          <w:szCs w:val="28"/>
        </w:rPr>
        <w:t>Life and Well-being for all C</w:t>
      </w:r>
      <w:r w:rsidR="00B4561D" w:rsidRPr="007A199D">
        <w:rPr>
          <w:rStyle w:val="Heading2Char"/>
          <w:rFonts w:ascii="Arial" w:hAnsi="Arial" w:cs="Arial"/>
          <w:b/>
          <w:color w:val="auto"/>
          <w:sz w:val="28"/>
          <w:szCs w:val="28"/>
        </w:rPr>
        <w:t>itizens</w:t>
      </w:r>
    </w:p>
    <w:p w:rsidR="0035129E" w:rsidRPr="007A199D" w:rsidRDefault="0035129E" w:rsidP="007A199D"/>
    <w:p w:rsidR="00BF6A06" w:rsidRPr="007A199D" w:rsidRDefault="00BF6A06" w:rsidP="00D46702">
      <w:pPr>
        <w:spacing w:line="360" w:lineRule="auto"/>
        <w:jc w:val="both"/>
        <w:rPr>
          <w:rFonts w:ascii="Arial" w:hAnsi="Arial" w:cs="Arial"/>
          <w:b/>
          <w:sz w:val="24"/>
          <w:szCs w:val="24"/>
        </w:rPr>
      </w:pPr>
      <w:r w:rsidRPr="007A199D">
        <w:rPr>
          <w:rFonts w:ascii="Arial" w:hAnsi="Arial" w:cs="Arial"/>
          <w:b/>
          <w:sz w:val="24"/>
          <w:szCs w:val="24"/>
        </w:rPr>
        <w:t xml:space="preserve">3.1.1. Overall Progress </w:t>
      </w:r>
    </w:p>
    <w:p w:rsidR="00EF25C5" w:rsidRDefault="00D27944" w:rsidP="00117185">
      <w:pPr>
        <w:spacing w:line="360" w:lineRule="auto"/>
        <w:jc w:val="both"/>
        <w:rPr>
          <w:rFonts w:ascii="Arial" w:eastAsia="Calibri" w:hAnsi="Arial" w:cs="Arial"/>
          <w:sz w:val="24"/>
          <w:szCs w:val="24"/>
        </w:rPr>
      </w:pPr>
      <w:r w:rsidRPr="00D27944">
        <w:rPr>
          <w:rFonts w:ascii="Arial" w:eastAsia="Calibri" w:hAnsi="Arial" w:cs="Arial"/>
          <w:sz w:val="24"/>
          <w:szCs w:val="24"/>
        </w:rPr>
        <w:t xml:space="preserve">Botswana has come a long way in tackling </w:t>
      </w:r>
      <w:r w:rsidRPr="007A199D">
        <w:rPr>
          <w:rFonts w:ascii="Arial" w:eastAsia="Calibri" w:hAnsi="Arial" w:cs="Arial"/>
          <w:i/>
          <w:sz w:val="24"/>
          <w:szCs w:val="24"/>
        </w:rPr>
        <w:t>incomes, jobs and decent work</w:t>
      </w:r>
      <w:r w:rsidRPr="00D27944">
        <w:rPr>
          <w:rFonts w:ascii="Arial" w:eastAsia="Calibri" w:hAnsi="Arial" w:cs="Arial"/>
          <w:sz w:val="24"/>
          <w:szCs w:val="24"/>
        </w:rPr>
        <w:t xml:space="preserve">. </w:t>
      </w:r>
      <w:r w:rsidR="00737744" w:rsidRPr="00737744">
        <w:rPr>
          <w:rFonts w:ascii="Arial" w:eastAsia="Calibri" w:hAnsi="Arial" w:cs="Arial"/>
          <w:sz w:val="24"/>
          <w:szCs w:val="24"/>
        </w:rPr>
        <w:t xml:space="preserve">Despite significant </w:t>
      </w:r>
      <w:r w:rsidR="00295F9C">
        <w:rPr>
          <w:rFonts w:ascii="Arial" w:eastAsia="Calibri" w:hAnsi="Arial" w:cs="Arial"/>
          <w:sz w:val="24"/>
          <w:szCs w:val="24"/>
        </w:rPr>
        <w:t xml:space="preserve">growth of </w:t>
      </w:r>
      <w:r w:rsidR="009516D7">
        <w:rPr>
          <w:rFonts w:ascii="Arial" w:eastAsia="Calibri" w:hAnsi="Arial" w:cs="Arial"/>
          <w:sz w:val="24"/>
          <w:szCs w:val="24"/>
        </w:rPr>
        <w:t xml:space="preserve">the </w:t>
      </w:r>
      <w:r w:rsidR="00737744" w:rsidRPr="00737744">
        <w:rPr>
          <w:rFonts w:ascii="Arial" w:eastAsia="Calibri" w:hAnsi="Arial" w:cs="Arial"/>
          <w:sz w:val="24"/>
          <w:szCs w:val="24"/>
        </w:rPr>
        <w:t>econom</w:t>
      </w:r>
      <w:r w:rsidR="00295F9C">
        <w:rPr>
          <w:rFonts w:ascii="Arial" w:eastAsia="Calibri" w:hAnsi="Arial" w:cs="Arial"/>
          <w:sz w:val="24"/>
          <w:szCs w:val="24"/>
        </w:rPr>
        <w:t xml:space="preserve">y </w:t>
      </w:r>
      <w:r w:rsidR="00737744" w:rsidRPr="00737744">
        <w:rPr>
          <w:rFonts w:ascii="Arial" w:eastAsia="Calibri" w:hAnsi="Arial" w:cs="Arial"/>
          <w:sz w:val="24"/>
          <w:szCs w:val="24"/>
        </w:rPr>
        <w:t xml:space="preserve">in the past </w:t>
      </w:r>
      <w:r w:rsidR="00295F9C">
        <w:rPr>
          <w:rFonts w:ascii="Arial" w:eastAsia="Calibri" w:hAnsi="Arial" w:cs="Arial"/>
          <w:sz w:val="24"/>
          <w:szCs w:val="24"/>
        </w:rPr>
        <w:t xml:space="preserve">five </w:t>
      </w:r>
      <w:r w:rsidR="00737744" w:rsidRPr="00737744">
        <w:rPr>
          <w:rFonts w:ascii="Arial" w:eastAsia="Calibri" w:hAnsi="Arial" w:cs="Arial"/>
          <w:sz w:val="24"/>
          <w:szCs w:val="24"/>
        </w:rPr>
        <w:t>decades,</w:t>
      </w:r>
      <w:r w:rsidR="00C12684">
        <w:rPr>
          <w:rFonts w:ascii="Arial" w:eastAsia="Calibri" w:hAnsi="Arial" w:cs="Arial"/>
          <w:sz w:val="24"/>
          <w:szCs w:val="24"/>
        </w:rPr>
        <w:t xml:space="preserve"> </w:t>
      </w:r>
      <w:r w:rsidR="00117185" w:rsidRPr="00F606A2">
        <w:rPr>
          <w:rFonts w:ascii="Arial" w:hAnsi="Arial" w:cs="Arial"/>
          <w:sz w:val="24"/>
          <w:szCs w:val="24"/>
        </w:rPr>
        <w:t>Botswana’s</w:t>
      </w:r>
      <w:r w:rsidR="009516D7">
        <w:rPr>
          <w:rFonts w:ascii="Arial" w:hAnsi="Arial" w:cs="Arial"/>
          <w:sz w:val="24"/>
          <w:szCs w:val="24"/>
        </w:rPr>
        <w:t xml:space="preserve"> domestic economic growth in the past seven years, hovered around 4%, influenced by the ge</w:t>
      </w:r>
      <w:r w:rsidR="001F0854">
        <w:rPr>
          <w:rFonts w:ascii="Arial" w:hAnsi="Arial" w:cs="Arial"/>
          <w:sz w:val="24"/>
          <w:szCs w:val="24"/>
        </w:rPr>
        <w:t>nerally</w:t>
      </w:r>
      <w:r w:rsidR="009516D7">
        <w:rPr>
          <w:rFonts w:ascii="Arial" w:hAnsi="Arial" w:cs="Arial"/>
          <w:sz w:val="24"/>
          <w:szCs w:val="24"/>
        </w:rPr>
        <w:t xml:space="preserve"> subdued global growth which remained around 3%.</w:t>
      </w:r>
      <w:r w:rsidR="009516D7" w:rsidRPr="009516D7">
        <w:t xml:space="preserve"> </w:t>
      </w:r>
      <w:r w:rsidR="009516D7" w:rsidRPr="007A199D">
        <w:rPr>
          <w:rFonts w:ascii="Arial" w:hAnsi="Arial" w:cs="Arial"/>
          <w:sz w:val="24"/>
          <w:szCs w:val="24"/>
        </w:rPr>
        <w:t xml:space="preserve">However, </w:t>
      </w:r>
      <w:r w:rsidR="009516D7">
        <w:rPr>
          <w:rFonts w:ascii="Arial" w:hAnsi="Arial" w:cs="Arial"/>
          <w:sz w:val="24"/>
          <w:szCs w:val="24"/>
        </w:rPr>
        <w:t>t</w:t>
      </w:r>
      <w:r w:rsidR="009516D7" w:rsidRPr="009516D7">
        <w:rPr>
          <w:rFonts w:ascii="Arial" w:hAnsi="Arial" w:cs="Arial"/>
          <w:sz w:val="24"/>
          <w:szCs w:val="24"/>
        </w:rPr>
        <w:t>he country still faces</w:t>
      </w:r>
      <w:r w:rsidR="00605F91">
        <w:rPr>
          <w:rFonts w:ascii="Arial" w:hAnsi="Arial" w:cs="Arial"/>
          <w:sz w:val="24"/>
          <w:szCs w:val="24"/>
        </w:rPr>
        <w:t xml:space="preserve"> high unemployment which declined from 19% in 2009/10 to the current 17.6%. It is much higher, at 40% for young people aged 15-24 years, especially females. D</w:t>
      </w:r>
      <w:r w:rsidR="009516D7" w:rsidRPr="009516D7">
        <w:rPr>
          <w:rFonts w:ascii="Arial" w:hAnsi="Arial" w:cs="Arial"/>
          <w:sz w:val="24"/>
          <w:szCs w:val="24"/>
        </w:rPr>
        <w:t>isparities</w:t>
      </w:r>
      <w:r w:rsidR="00605F91">
        <w:rPr>
          <w:rFonts w:ascii="Arial" w:hAnsi="Arial" w:cs="Arial"/>
          <w:sz w:val="24"/>
          <w:szCs w:val="24"/>
        </w:rPr>
        <w:t xml:space="preserve"> also exist</w:t>
      </w:r>
      <w:r w:rsidR="009516D7" w:rsidRPr="009516D7">
        <w:rPr>
          <w:rFonts w:ascii="Arial" w:hAnsi="Arial" w:cs="Arial"/>
          <w:sz w:val="24"/>
          <w:szCs w:val="24"/>
        </w:rPr>
        <w:t xml:space="preserve"> in inco</w:t>
      </w:r>
      <w:r w:rsidR="009516D7">
        <w:rPr>
          <w:rFonts w:ascii="Arial" w:hAnsi="Arial" w:cs="Arial"/>
          <w:sz w:val="24"/>
          <w:szCs w:val="24"/>
        </w:rPr>
        <w:t>me, wealth and living standards as the</w:t>
      </w:r>
      <w:r w:rsidR="00117185" w:rsidRPr="00F606A2">
        <w:rPr>
          <w:rFonts w:ascii="Arial" w:hAnsi="Arial" w:cs="Arial"/>
          <w:sz w:val="24"/>
          <w:szCs w:val="24"/>
        </w:rPr>
        <w:t xml:space="preserve"> </w:t>
      </w:r>
      <w:proofErr w:type="spellStart"/>
      <w:r w:rsidR="009516D7">
        <w:rPr>
          <w:rFonts w:ascii="Arial" w:eastAsia="Calibri" w:hAnsi="Arial" w:cs="Arial"/>
          <w:sz w:val="24"/>
          <w:szCs w:val="24"/>
        </w:rPr>
        <w:t>g</w:t>
      </w:r>
      <w:r w:rsidR="00117185" w:rsidRPr="00F606A2">
        <w:rPr>
          <w:rFonts w:ascii="Arial" w:eastAsia="Calibri" w:hAnsi="Arial" w:cs="Arial"/>
          <w:sz w:val="24"/>
          <w:szCs w:val="24"/>
        </w:rPr>
        <w:t>ini</w:t>
      </w:r>
      <w:proofErr w:type="spellEnd"/>
      <w:r w:rsidR="00117185" w:rsidRPr="00F606A2">
        <w:rPr>
          <w:rFonts w:ascii="Arial" w:eastAsia="Calibri" w:hAnsi="Arial" w:cs="Arial"/>
          <w:sz w:val="24"/>
          <w:szCs w:val="24"/>
        </w:rPr>
        <w:t xml:space="preserve"> coefficient </w:t>
      </w:r>
      <w:r w:rsidR="009516D7">
        <w:rPr>
          <w:rFonts w:ascii="Arial" w:eastAsia="Calibri" w:hAnsi="Arial" w:cs="Arial"/>
          <w:sz w:val="24"/>
          <w:szCs w:val="24"/>
        </w:rPr>
        <w:t>remained</w:t>
      </w:r>
      <w:r w:rsidR="004D32A2">
        <w:rPr>
          <w:rFonts w:ascii="Arial" w:eastAsia="Calibri" w:hAnsi="Arial" w:cs="Arial"/>
          <w:sz w:val="24"/>
          <w:szCs w:val="24"/>
        </w:rPr>
        <w:t xml:space="preserve"> </w:t>
      </w:r>
      <w:r w:rsidR="00605F91">
        <w:rPr>
          <w:rFonts w:ascii="Arial" w:eastAsia="Calibri" w:hAnsi="Arial" w:cs="Arial"/>
          <w:sz w:val="24"/>
          <w:szCs w:val="24"/>
        </w:rPr>
        <w:t xml:space="preserve">as </w:t>
      </w:r>
      <w:r w:rsidR="004D32A2">
        <w:rPr>
          <w:rFonts w:ascii="Arial" w:eastAsia="Calibri" w:hAnsi="Arial" w:cs="Arial"/>
          <w:sz w:val="24"/>
          <w:szCs w:val="24"/>
        </w:rPr>
        <w:t xml:space="preserve">high as </w:t>
      </w:r>
      <w:r w:rsidR="00117185" w:rsidRPr="00F606A2">
        <w:rPr>
          <w:rFonts w:ascii="Arial" w:eastAsia="Calibri" w:hAnsi="Arial" w:cs="Arial"/>
          <w:sz w:val="24"/>
          <w:szCs w:val="24"/>
        </w:rPr>
        <w:t xml:space="preserve">60.9 </w:t>
      </w:r>
      <w:r w:rsidR="004D32A2">
        <w:rPr>
          <w:rFonts w:ascii="Arial" w:eastAsia="Calibri" w:hAnsi="Arial" w:cs="Arial"/>
          <w:sz w:val="24"/>
          <w:szCs w:val="24"/>
        </w:rPr>
        <w:t xml:space="preserve">in 2009/10 </w:t>
      </w:r>
      <w:r w:rsidR="00605F91">
        <w:rPr>
          <w:rFonts w:ascii="Arial" w:eastAsia="Calibri" w:hAnsi="Arial" w:cs="Arial"/>
          <w:sz w:val="24"/>
          <w:szCs w:val="24"/>
        </w:rPr>
        <w:t xml:space="preserve">and decreased </w:t>
      </w:r>
      <w:r w:rsidR="004D32A2">
        <w:rPr>
          <w:rFonts w:ascii="Arial" w:eastAsia="Calibri" w:hAnsi="Arial" w:cs="Arial"/>
          <w:sz w:val="24"/>
          <w:szCs w:val="24"/>
        </w:rPr>
        <w:t>to the current 53.3%</w:t>
      </w:r>
      <w:r w:rsidR="00BF6A06">
        <w:rPr>
          <w:rFonts w:ascii="Arial" w:eastAsia="Calibri" w:hAnsi="Arial" w:cs="Arial"/>
          <w:sz w:val="24"/>
          <w:szCs w:val="24"/>
        </w:rPr>
        <w:t xml:space="preserve"> in 2019</w:t>
      </w:r>
      <w:r w:rsidR="00605F91">
        <w:rPr>
          <w:rFonts w:ascii="Arial" w:eastAsia="Calibri" w:hAnsi="Arial" w:cs="Arial"/>
          <w:sz w:val="24"/>
          <w:szCs w:val="24"/>
        </w:rPr>
        <w:t>. This</w:t>
      </w:r>
      <w:r w:rsidR="00BF6A06">
        <w:rPr>
          <w:rFonts w:ascii="Arial" w:eastAsia="Calibri" w:hAnsi="Arial" w:cs="Arial"/>
          <w:sz w:val="24"/>
          <w:szCs w:val="24"/>
        </w:rPr>
        <w:t xml:space="preserve"> pits </w:t>
      </w:r>
      <w:r w:rsidR="009516D7">
        <w:rPr>
          <w:rFonts w:ascii="Arial" w:eastAsia="Calibri" w:hAnsi="Arial" w:cs="Arial"/>
          <w:sz w:val="24"/>
          <w:szCs w:val="24"/>
        </w:rPr>
        <w:t>Botswana</w:t>
      </w:r>
      <w:r w:rsidR="00BF6A06">
        <w:rPr>
          <w:rFonts w:ascii="Arial" w:eastAsia="Calibri" w:hAnsi="Arial" w:cs="Arial"/>
          <w:sz w:val="24"/>
          <w:szCs w:val="24"/>
        </w:rPr>
        <w:t xml:space="preserve"> among the top ten most unequal </w:t>
      </w:r>
      <w:r w:rsidR="009516D7">
        <w:rPr>
          <w:rFonts w:ascii="Arial" w:eastAsia="Calibri" w:hAnsi="Arial" w:cs="Arial"/>
          <w:sz w:val="24"/>
          <w:szCs w:val="24"/>
        </w:rPr>
        <w:t xml:space="preserve">societies </w:t>
      </w:r>
      <w:r w:rsidR="00BF6A06">
        <w:rPr>
          <w:rFonts w:ascii="Arial" w:eastAsia="Calibri" w:hAnsi="Arial" w:cs="Arial"/>
          <w:sz w:val="24"/>
          <w:szCs w:val="24"/>
        </w:rPr>
        <w:t>in Sub Saharan</w:t>
      </w:r>
      <w:r w:rsidR="009516D7">
        <w:rPr>
          <w:rFonts w:ascii="Arial" w:eastAsia="Calibri" w:hAnsi="Arial" w:cs="Arial"/>
          <w:sz w:val="24"/>
          <w:szCs w:val="24"/>
        </w:rPr>
        <w:t xml:space="preserve"> Africa</w:t>
      </w:r>
      <w:r w:rsidR="00BF6A06">
        <w:rPr>
          <w:rFonts w:ascii="Arial" w:eastAsia="Calibri" w:hAnsi="Arial" w:cs="Arial"/>
          <w:sz w:val="24"/>
          <w:szCs w:val="24"/>
        </w:rPr>
        <w:t>.</w:t>
      </w:r>
      <w:r w:rsidR="004D32A2">
        <w:rPr>
          <w:rFonts w:ascii="Arial" w:eastAsia="Calibri" w:hAnsi="Arial" w:cs="Arial"/>
          <w:sz w:val="24"/>
          <w:szCs w:val="24"/>
        </w:rPr>
        <w:t xml:space="preserve"> </w:t>
      </w:r>
    </w:p>
    <w:p w:rsidR="00605F91" w:rsidRDefault="00605F91" w:rsidP="00605F91">
      <w:pPr>
        <w:spacing w:line="360" w:lineRule="auto"/>
        <w:jc w:val="both"/>
      </w:pPr>
      <w:r w:rsidRPr="00D27944">
        <w:rPr>
          <w:rFonts w:ascii="Arial" w:hAnsi="Arial" w:cs="Arial"/>
          <w:sz w:val="24"/>
          <w:szCs w:val="24"/>
        </w:rPr>
        <w:t xml:space="preserve">There is an intimate link between </w:t>
      </w:r>
      <w:r w:rsidRPr="007A199D">
        <w:rPr>
          <w:rFonts w:ascii="Arial" w:hAnsi="Arial" w:cs="Arial"/>
          <w:i/>
          <w:sz w:val="24"/>
          <w:szCs w:val="24"/>
        </w:rPr>
        <w:t xml:space="preserve">poverty, hunger, access to nutrition and </w:t>
      </w:r>
      <w:r>
        <w:rPr>
          <w:rFonts w:ascii="Arial" w:hAnsi="Arial" w:cs="Arial"/>
          <w:i/>
          <w:sz w:val="24"/>
          <w:szCs w:val="24"/>
        </w:rPr>
        <w:t>inequality</w:t>
      </w:r>
      <w:r w:rsidR="00CC4CF5">
        <w:rPr>
          <w:rFonts w:ascii="Arial" w:hAnsi="Arial" w:cs="Arial"/>
          <w:i/>
          <w:sz w:val="24"/>
          <w:szCs w:val="24"/>
        </w:rPr>
        <w:t>.</w:t>
      </w:r>
      <w:r>
        <w:rPr>
          <w:rFonts w:ascii="Arial" w:hAnsi="Arial" w:cs="Arial"/>
          <w:sz w:val="24"/>
          <w:szCs w:val="24"/>
        </w:rPr>
        <w:t xml:space="preserve"> </w:t>
      </w:r>
      <w:r w:rsidRPr="007A199D">
        <w:rPr>
          <w:rFonts w:ascii="Arial" w:hAnsi="Arial" w:cs="Arial"/>
          <w:sz w:val="24"/>
          <w:szCs w:val="24"/>
        </w:rPr>
        <w:t xml:space="preserve">Botswana has always </w:t>
      </w:r>
      <w:proofErr w:type="spellStart"/>
      <w:r w:rsidRPr="007A199D">
        <w:rPr>
          <w:rFonts w:ascii="Arial" w:hAnsi="Arial" w:cs="Arial"/>
          <w:sz w:val="24"/>
          <w:szCs w:val="24"/>
        </w:rPr>
        <w:t>prioritsed</w:t>
      </w:r>
      <w:proofErr w:type="spellEnd"/>
      <w:r w:rsidRPr="007A199D">
        <w:rPr>
          <w:rFonts w:ascii="Arial" w:hAnsi="Arial" w:cs="Arial"/>
          <w:sz w:val="24"/>
          <w:szCs w:val="24"/>
        </w:rPr>
        <w:t xml:space="preserve"> the twin challenges of poverty and inequality </w:t>
      </w:r>
      <w:r>
        <w:rPr>
          <w:rFonts w:ascii="Arial" w:hAnsi="Arial" w:cs="Arial"/>
          <w:sz w:val="24"/>
          <w:szCs w:val="24"/>
        </w:rPr>
        <w:t>way before the 2013 Africa Agenda</w:t>
      </w:r>
      <w:r w:rsidRPr="00F606A2">
        <w:rPr>
          <w:rFonts w:ascii="Arial" w:hAnsi="Arial" w:cs="Arial"/>
          <w:sz w:val="24"/>
          <w:szCs w:val="24"/>
        </w:rPr>
        <w:t>.</w:t>
      </w:r>
      <w:r>
        <w:rPr>
          <w:rFonts w:ascii="Arial" w:hAnsi="Arial" w:cs="Arial"/>
          <w:sz w:val="24"/>
          <w:szCs w:val="24"/>
        </w:rPr>
        <w:t xml:space="preserve"> </w:t>
      </w:r>
      <w:r w:rsidR="00CC4CF5">
        <w:rPr>
          <w:rFonts w:ascii="Arial" w:hAnsi="Arial" w:cs="Arial"/>
          <w:sz w:val="24"/>
          <w:szCs w:val="24"/>
        </w:rPr>
        <w:t xml:space="preserve">All aspects of goal one </w:t>
      </w:r>
      <w:proofErr w:type="gramStart"/>
      <w:r w:rsidR="00CC4CF5">
        <w:rPr>
          <w:rFonts w:ascii="Arial" w:hAnsi="Arial" w:cs="Arial"/>
          <w:sz w:val="24"/>
          <w:szCs w:val="24"/>
        </w:rPr>
        <w:t>resonate</w:t>
      </w:r>
      <w:proofErr w:type="gramEnd"/>
      <w:r w:rsidR="00CC4CF5">
        <w:rPr>
          <w:rFonts w:ascii="Arial" w:hAnsi="Arial" w:cs="Arial"/>
          <w:sz w:val="24"/>
          <w:szCs w:val="24"/>
        </w:rPr>
        <w:t xml:space="preserve"> with the national</w:t>
      </w:r>
      <w:r>
        <w:rPr>
          <w:rFonts w:ascii="Arial" w:hAnsi="Arial" w:cs="Arial"/>
          <w:sz w:val="24"/>
          <w:szCs w:val="24"/>
        </w:rPr>
        <w:t xml:space="preserve"> </w:t>
      </w:r>
      <w:r w:rsidR="00CC4CF5">
        <w:rPr>
          <w:rFonts w:ascii="Arial" w:hAnsi="Arial" w:cs="Arial"/>
          <w:sz w:val="24"/>
          <w:szCs w:val="24"/>
        </w:rPr>
        <w:t>priorities, focusing on</w:t>
      </w:r>
      <w:r>
        <w:rPr>
          <w:rFonts w:ascii="Arial" w:hAnsi="Arial" w:cs="Arial"/>
          <w:sz w:val="24"/>
          <w:szCs w:val="24"/>
        </w:rPr>
        <w:t xml:space="preserve"> incomes and people’</w:t>
      </w:r>
      <w:r w:rsidR="00CC4CF5">
        <w:rPr>
          <w:rFonts w:ascii="Arial" w:hAnsi="Arial" w:cs="Arial"/>
          <w:sz w:val="24"/>
          <w:szCs w:val="24"/>
        </w:rPr>
        <w:t>s livelihoods;</w:t>
      </w:r>
      <w:r>
        <w:rPr>
          <w:rFonts w:ascii="Arial" w:hAnsi="Arial" w:cs="Arial"/>
          <w:sz w:val="24"/>
          <w:szCs w:val="24"/>
        </w:rPr>
        <w:t xml:space="preserve"> poverty</w:t>
      </w:r>
      <w:r w:rsidR="00CC4CF5">
        <w:rPr>
          <w:rFonts w:ascii="Arial" w:hAnsi="Arial" w:cs="Arial"/>
          <w:sz w:val="24"/>
          <w:szCs w:val="24"/>
        </w:rPr>
        <w:t xml:space="preserve"> in all its forms and</w:t>
      </w:r>
      <w:r>
        <w:rPr>
          <w:rFonts w:ascii="Arial" w:hAnsi="Arial" w:cs="Arial"/>
          <w:sz w:val="24"/>
          <w:szCs w:val="24"/>
        </w:rPr>
        <w:t xml:space="preserve"> providing social protection to its vulnerable population including persons with disabilities.</w:t>
      </w:r>
      <w:r w:rsidRPr="00D27944">
        <w:t xml:space="preserve"> </w:t>
      </w:r>
    </w:p>
    <w:p w:rsidR="001D33F0" w:rsidRDefault="00605F91" w:rsidP="00605F91">
      <w:pPr>
        <w:spacing w:line="360" w:lineRule="auto"/>
        <w:jc w:val="both"/>
        <w:rPr>
          <w:rFonts w:ascii="Arial" w:eastAsia="Calibri" w:hAnsi="Arial" w:cs="Arial"/>
          <w:sz w:val="24"/>
          <w:szCs w:val="24"/>
        </w:rPr>
      </w:pPr>
      <w:r>
        <w:rPr>
          <w:rFonts w:ascii="Arial" w:hAnsi="Arial" w:cs="Arial"/>
          <w:sz w:val="24"/>
          <w:szCs w:val="24"/>
        </w:rPr>
        <w:t>In 2013</w:t>
      </w:r>
      <w:r w:rsidRPr="00CA1DAC">
        <w:t xml:space="preserve"> </w:t>
      </w:r>
      <w:r w:rsidRPr="00CA1DAC">
        <w:rPr>
          <w:rFonts w:ascii="Arial" w:hAnsi="Arial" w:cs="Arial"/>
          <w:sz w:val="24"/>
          <w:szCs w:val="24"/>
        </w:rPr>
        <w:t>head count</w:t>
      </w:r>
      <w:r>
        <w:rPr>
          <w:rFonts w:ascii="Arial" w:hAnsi="Arial" w:cs="Arial"/>
          <w:sz w:val="24"/>
          <w:szCs w:val="24"/>
        </w:rPr>
        <w:t xml:space="preserve"> poverty levels were in the decline as per the 2009/10 figure of 19.3% and further down to 16.3% in 2015/6. Extreme poverty also declined from 6.4% to 5.8% </w:t>
      </w:r>
      <w:r>
        <w:rPr>
          <w:rFonts w:ascii="Arial" w:hAnsi="Arial" w:cs="Arial"/>
          <w:sz w:val="24"/>
          <w:szCs w:val="24"/>
        </w:rPr>
        <w:lastRenderedPageBreak/>
        <w:t>of the population.</w:t>
      </w:r>
      <w:r w:rsidRPr="00CA1DAC">
        <w:rPr>
          <w:rFonts w:ascii="Arial" w:hAnsi="Arial" w:cs="Arial"/>
          <w:sz w:val="24"/>
          <w:szCs w:val="24"/>
        </w:rPr>
        <w:t xml:space="preserve"> </w:t>
      </w:r>
      <w:r w:rsidRPr="00F606A2">
        <w:rPr>
          <w:rFonts w:ascii="Arial" w:hAnsi="Arial" w:cs="Arial"/>
          <w:sz w:val="24"/>
          <w:szCs w:val="24"/>
        </w:rPr>
        <w:t>Poverty incidence decreased faster in rural areas than in cities and towns.</w:t>
      </w:r>
      <w:r>
        <w:rPr>
          <w:rFonts w:ascii="Arial" w:hAnsi="Arial" w:cs="Arial"/>
          <w:sz w:val="24"/>
          <w:szCs w:val="24"/>
        </w:rPr>
        <w:t xml:space="preserve"> </w:t>
      </w:r>
      <w:r w:rsidR="00CC4CF5" w:rsidRPr="007A199D">
        <w:rPr>
          <w:rFonts w:ascii="Arial" w:eastAsia="Calibri" w:hAnsi="Arial" w:cs="Arial"/>
          <w:sz w:val="24"/>
          <w:szCs w:val="24"/>
        </w:rPr>
        <w:t xml:space="preserve">Botswana </w:t>
      </w:r>
      <w:r w:rsidR="00CC4CF5">
        <w:rPr>
          <w:rFonts w:ascii="Arial" w:eastAsia="Calibri" w:hAnsi="Arial" w:cs="Arial"/>
          <w:sz w:val="24"/>
          <w:szCs w:val="24"/>
        </w:rPr>
        <w:t>continues to experience</w:t>
      </w:r>
      <w:r w:rsidR="00CC4CF5" w:rsidRPr="007A199D">
        <w:rPr>
          <w:rFonts w:ascii="Arial" w:eastAsia="Calibri" w:hAnsi="Arial" w:cs="Arial"/>
          <w:sz w:val="24"/>
          <w:szCs w:val="24"/>
        </w:rPr>
        <w:t xml:space="preserve"> </w:t>
      </w:r>
      <w:r w:rsidR="00CC4CF5">
        <w:rPr>
          <w:rFonts w:ascii="Arial" w:eastAsia="Calibri" w:hAnsi="Arial" w:cs="Arial"/>
          <w:sz w:val="24"/>
          <w:szCs w:val="24"/>
        </w:rPr>
        <w:t>fluctuations</w:t>
      </w:r>
      <w:r w:rsidR="00CC4CF5" w:rsidRPr="007A199D">
        <w:rPr>
          <w:rFonts w:ascii="Arial" w:eastAsia="Calibri" w:hAnsi="Arial" w:cs="Arial"/>
          <w:sz w:val="24"/>
          <w:szCs w:val="24"/>
        </w:rPr>
        <w:t xml:space="preserve"> in Under Five malnutrition. Underweight rates decreased marginally from 13.9 percent in 2007 to 13.1 percent in 2014. Stunting</w:t>
      </w:r>
      <w:r w:rsidR="00CC4CF5">
        <w:rPr>
          <w:rFonts w:ascii="Arial" w:eastAsia="Calibri" w:hAnsi="Arial" w:cs="Arial"/>
          <w:sz w:val="24"/>
          <w:szCs w:val="24"/>
        </w:rPr>
        <w:t xml:space="preserve"> also</w:t>
      </w:r>
      <w:r w:rsidR="00CC4CF5" w:rsidRPr="007A199D">
        <w:rPr>
          <w:rFonts w:ascii="Arial" w:eastAsia="Calibri" w:hAnsi="Arial" w:cs="Arial"/>
          <w:sz w:val="24"/>
          <w:szCs w:val="24"/>
        </w:rPr>
        <w:t xml:space="preserve"> decreased from 25.9 percent to 21 percent while wasting fell from 7.6 percent to 7.3 percent.</w:t>
      </w:r>
      <w:r w:rsidR="009B00C1">
        <w:rPr>
          <w:rFonts w:ascii="Arial" w:eastAsia="Calibri" w:hAnsi="Arial" w:cs="Arial"/>
          <w:sz w:val="24"/>
          <w:szCs w:val="24"/>
        </w:rPr>
        <w:t xml:space="preserve"> </w:t>
      </w:r>
      <w:proofErr w:type="gramStart"/>
      <w:r w:rsidR="009B00C1">
        <w:rPr>
          <w:rFonts w:ascii="Arial" w:eastAsia="Calibri" w:hAnsi="Arial" w:cs="Arial"/>
          <w:sz w:val="24"/>
          <w:szCs w:val="24"/>
        </w:rPr>
        <w:t>Unfortunately</w:t>
      </w:r>
      <w:proofErr w:type="gramEnd"/>
      <w:r w:rsidR="009B00C1">
        <w:rPr>
          <w:rFonts w:ascii="Arial" w:eastAsia="Calibri" w:hAnsi="Arial" w:cs="Arial"/>
          <w:sz w:val="24"/>
          <w:szCs w:val="24"/>
        </w:rPr>
        <w:t xml:space="preserve"> these have far reaching consequences on the physiological development of infants that ultimately may compromise the country’s quality of human capital. </w:t>
      </w:r>
    </w:p>
    <w:p w:rsidR="0035129E" w:rsidRDefault="001D33F0" w:rsidP="00117185">
      <w:pPr>
        <w:spacing w:line="360" w:lineRule="auto"/>
        <w:jc w:val="both"/>
        <w:rPr>
          <w:rFonts w:ascii="Arial" w:eastAsia="Calibri" w:hAnsi="Arial" w:cs="Arial"/>
          <w:sz w:val="24"/>
          <w:szCs w:val="24"/>
        </w:rPr>
      </w:pPr>
      <w:r>
        <w:rPr>
          <w:rFonts w:ascii="Arial" w:eastAsia="Calibri" w:hAnsi="Arial" w:cs="Arial"/>
          <w:sz w:val="24"/>
          <w:szCs w:val="24"/>
        </w:rPr>
        <w:t xml:space="preserve">Since independence, Botswana took steps to invest in physical infrastructure </w:t>
      </w:r>
      <w:r w:rsidR="006B3158">
        <w:rPr>
          <w:rFonts w:ascii="Arial" w:eastAsia="Calibri" w:hAnsi="Arial" w:cs="Arial"/>
          <w:sz w:val="24"/>
          <w:szCs w:val="24"/>
        </w:rPr>
        <w:t xml:space="preserve">in order to ensure that the necessary </w:t>
      </w:r>
      <w:r w:rsidR="006B3158" w:rsidRPr="007A199D">
        <w:rPr>
          <w:rFonts w:ascii="Arial" w:eastAsia="Calibri" w:hAnsi="Arial" w:cs="Arial"/>
          <w:i/>
          <w:sz w:val="24"/>
          <w:szCs w:val="24"/>
        </w:rPr>
        <w:t>basic, quality services</w:t>
      </w:r>
      <w:r w:rsidR="006B3158">
        <w:rPr>
          <w:rFonts w:ascii="Arial" w:eastAsia="Calibri" w:hAnsi="Arial" w:cs="Arial"/>
          <w:sz w:val="24"/>
          <w:szCs w:val="24"/>
        </w:rPr>
        <w:t xml:space="preserve"> reach the vast, expansive and sparsely populated</w:t>
      </w:r>
      <w:r w:rsidR="009B00C1">
        <w:rPr>
          <w:rFonts w:ascii="Arial" w:eastAsia="Calibri" w:hAnsi="Arial" w:cs="Arial"/>
          <w:sz w:val="24"/>
          <w:szCs w:val="24"/>
        </w:rPr>
        <w:t xml:space="preserve"> </w:t>
      </w:r>
      <w:r w:rsidR="006B3158">
        <w:rPr>
          <w:rFonts w:ascii="Arial" w:eastAsia="Calibri" w:hAnsi="Arial" w:cs="Arial"/>
          <w:sz w:val="24"/>
          <w:szCs w:val="24"/>
        </w:rPr>
        <w:t xml:space="preserve">country. </w:t>
      </w:r>
      <w:proofErr w:type="gramStart"/>
      <w:r w:rsidR="006B3158">
        <w:rPr>
          <w:rFonts w:ascii="Arial" w:eastAsia="Calibri" w:hAnsi="Arial" w:cs="Arial"/>
          <w:sz w:val="24"/>
          <w:szCs w:val="24"/>
        </w:rPr>
        <w:t>These included provision of amenities</w:t>
      </w:r>
      <w:proofErr w:type="gramEnd"/>
      <w:r w:rsidR="006B3158">
        <w:rPr>
          <w:rFonts w:ascii="Arial" w:eastAsia="Calibri" w:hAnsi="Arial" w:cs="Arial"/>
          <w:sz w:val="24"/>
          <w:szCs w:val="24"/>
        </w:rPr>
        <w:t xml:space="preserve"> such as electricity, safe drinking water, sanitation as well as internet. </w:t>
      </w:r>
      <w:r w:rsidR="006B3158" w:rsidRPr="000E218C">
        <w:rPr>
          <w:rFonts w:ascii="Arial" w:eastAsia="Calibri" w:hAnsi="Arial" w:cs="Arial"/>
          <w:sz w:val="24"/>
          <w:szCs w:val="24"/>
        </w:rPr>
        <w:t>The country’s openness to public private partnership</w:t>
      </w:r>
      <w:r w:rsidR="006B3158">
        <w:rPr>
          <w:rFonts w:ascii="Arial" w:eastAsia="Calibri" w:hAnsi="Arial" w:cs="Arial"/>
          <w:sz w:val="24"/>
          <w:szCs w:val="24"/>
        </w:rPr>
        <w:t>s</w:t>
      </w:r>
      <w:r w:rsidR="006B3158" w:rsidRPr="000E218C">
        <w:rPr>
          <w:rFonts w:ascii="Arial" w:eastAsia="Calibri" w:hAnsi="Arial" w:cs="Arial"/>
          <w:sz w:val="24"/>
          <w:szCs w:val="24"/>
        </w:rPr>
        <w:t xml:space="preserve"> in solar </w:t>
      </w:r>
      <w:r w:rsidR="006B3158">
        <w:rPr>
          <w:rFonts w:ascii="Arial" w:eastAsia="Calibri" w:hAnsi="Arial" w:cs="Arial"/>
          <w:sz w:val="24"/>
          <w:szCs w:val="24"/>
        </w:rPr>
        <w:t xml:space="preserve">and other </w:t>
      </w:r>
      <w:r w:rsidR="006B3158" w:rsidRPr="000E218C">
        <w:rPr>
          <w:rFonts w:ascii="Arial" w:eastAsia="Calibri" w:hAnsi="Arial" w:cs="Arial"/>
          <w:sz w:val="24"/>
          <w:szCs w:val="24"/>
        </w:rPr>
        <w:t>energy</w:t>
      </w:r>
      <w:r w:rsidR="006B3158">
        <w:rPr>
          <w:rFonts w:ascii="Arial" w:eastAsia="Calibri" w:hAnsi="Arial" w:cs="Arial"/>
          <w:sz w:val="24"/>
          <w:szCs w:val="24"/>
        </w:rPr>
        <w:t xml:space="preserve"> sources,</w:t>
      </w:r>
      <w:r w:rsidR="006B3158" w:rsidRPr="000E218C">
        <w:rPr>
          <w:rFonts w:ascii="Arial" w:eastAsia="Calibri" w:hAnsi="Arial" w:cs="Arial"/>
          <w:sz w:val="24"/>
          <w:szCs w:val="24"/>
        </w:rPr>
        <w:t xml:space="preserve"> </w:t>
      </w:r>
      <w:r w:rsidR="006B3158">
        <w:rPr>
          <w:rFonts w:ascii="Arial" w:eastAsia="Calibri" w:hAnsi="Arial" w:cs="Arial"/>
          <w:sz w:val="24"/>
          <w:szCs w:val="24"/>
        </w:rPr>
        <w:t xml:space="preserve">the </w:t>
      </w:r>
      <w:r w:rsidR="006B3158" w:rsidRPr="000E218C">
        <w:rPr>
          <w:rFonts w:ascii="Arial" w:eastAsia="Calibri" w:hAnsi="Arial" w:cs="Arial"/>
          <w:sz w:val="24"/>
          <w:szCs w:val="24"/>
        </w:rPr>
        <w:t>investment in grid infrastructure</w:t>
      </w:r>
      <w:r w:rsidR="006B3158">
        <w:rPr>
          <w:rFonts w:ascii="Arial" w:eastAsia="Calibri" w:hAnsi="Arial" w:cs="Arial"/>
          <w:sz w:val="24"/>
          <w:szCs w:val="24"/>
        </w:rPr>
        <w:t xml:space="preserve">, </w:t>
      </w:r>
      <w:r w:rsidR="006B3158" w:rsidRPr="000E218C">
        <w:rPr>
          <w:rFonts w:ascii="Arial" w:eastAsia="Calibri" w:hAnsi="Arial" w:cs="Arial"/>
          <w:sz w:val="24"/>
          <w:szCs w:val="24"/>
        </w:rPr>
        <w:t>investment in non-conventional water resources,</w:t>
      </w:r>
      <w:r w:rsidR="006B3158" w:rsidRPr="000E218C">
        <w:t xml:space="preserve"> </w:t>
      </w:r>
      <w:r w:rsidR="006B3158" w:rsidRPr="00F606A2">
        <w:rPr>
          <w:rFonts w:ascii="Arial" w:hAnsi="Arial" w:cs="Arial"/>
          <w:sz w:val="24"/>
          <w:szCs w:val="24"/>
        </w:rPr>
        <w:t>as well as improved trans</w:t>
      </w:r>
      <w:r w:rsidR="006B3158">
        <w:rPr>
          <w:rFonts w:ascii="Arial" w:hAnsi="Arial" w:cs="Arial"/>
          <w:sz w:val="24"/>
          <w:szCs w:val="24"/>
        </w:rPr>
        <w:t>-</w:t>
      </w:r>
      <w:r w:rsidR="006B3158" w:rsidRPr="00F606A2">
        <w:rPr>
          <w:rFonts w:ascii="Arial" w:hAnsi="Arial" w:cs="Arial"/>
          <w:sz w:val="24"/>
          <w:szCs w:val="24"/>
        </w:rPr>
        <w:t>boundary water-use efficiencies,</w:t>
      </w:r>
      <w:r w:rsidR="006B3158" w:rsidRPr="00F606A2">
        <w:rPr>
          <w:rFonts w:ascii="Arial" w:hAnsi="Arial" w:cs="Arial"/>
        </w:rPr>
        <w:t xml:space="preserve"> </w:t>
      </w:r>
      <w:r w:rsidR="006B3158" w:rsidRPr="00F606A2">
        <w:rPr>
          <w:rFonts w:ascii="Arial" w:eastAsia="Calibri" w:hAnsi="Arial" w:cs="Arial"/>
          <w:sz w:val="24"/>
          <w:szCs w:val="24"/>
        </w:rPr>
        <w:t>provide</w:t>
      </w:r>
      <w:r w:rsidR="006B3158" w:rsidRPr="000E218C">
        <w:rPr>
          <w:rFonts w:ascii="Arial" w:eastAsia="Calibri" w:hAnsi="Arial" w:cs="Arial"/>
          <w:sz w:val="24"/>
          <w:szCs w:val="24"/>
        </w:rPr>
        <w:t xml:space="preserve"> opportunities to develop energy projects for domestic use and export.</w:t>
      </w:r>
      <w:r w:rsidR="00505132">
        <w:rPr>
          <w:rFonts w:ascii="Arial" w:eastAsia="Calibri" w:hAnsi="Arial" w:cs="Arial"/>
          <w:sz w:val="24"/>
          <w:szCs w:val="24"/>
        </w:rPr>
        <w:t xml:space="preserve"> </w:t>
      </w:r>
      <w:r w:rsidR="00505132" w:rsidRPr="001E310F">
        <w:rPr>
          <w:rFonts w:ascii="Arial" w:eastAsia="Times New Roman" w:hAnsi="Arial" w:cs="Arial"/>
          <w:bCs/>
          <w:sz w:val="24"/>
          <w:szCs w:val="24"/>
        </w:rPr>
        <w:t xml:space="preserve">Further, while </w:t>
      </w:r>
      <w:r w:rsidR="00505132">
        <w:rPr>
          <w:rFonts w:ascii="Arial" w:eastAsia="Times New Roman" w:hAnsi="Arial" w:cs="Arial"/>
          <w:bCs/>
          <w:sz w:val="24"/>
          <w:szCs w:val="24"/>
        </w:rPr>
        <w:t xml:space="preserve">access to </w:t>
      </w:r>
      <w:r w:rsidR="00505132" w:rsidRPr="001E310F">
        <w:rPr>
          <w:rFonts w:ascii="Arial" w:eastAsia="Times New Roman" w:hAnsi="Arial" w:cs="Arial"/>
          <w:bCs/>
          <w:sz w:val="24"/>
          <w:szCs w:val="24"/>
        </w:rPr>
        <w:t>drinking water in Botswana is 97%, the country continues to develop water infrastructure to provide safe drinking water to the</w:t>
      </w:r>
      <w:r w:rsidR="00505132">
        <w:rPr>
          <w:rFonts w:ascii="Arial" w:eastAsia="Times New Roman" w:hAnsi="Arial" w:cs="Arial"/>
          <w:bCs/>
          <w:sz w:val="24"/>
          <w:szCs w:val="24"/>
        </w:rPr>
        <w:t xml:space="preserve"> entire</w:t>
      </w:r>
      <w:r w:rsidR="00505132" w:rsidRPr="001E310F">
        <w:rPr>
          <w:rFonts w:ascii="Arial" w:eastAsia="Times New Roman" w:hAnsi="Arial" w:cs="Arial"/>
          <w:bCs/>
          <w:sz w:val="24"/>
          <w:szCs w:val="24"/>
        </w:rPr>
        <w:t xml:space="preserve"> nation. The review also </w:t>
      </w:r>
      <w:r w:rsidR="00505132">
        <w:rPr>
          <w:rFonts w:ascii="Arial" w:eastAsia="Times New Roman" w:hAnsi="Arial" w:cs="Arial"/>
          <w:bCs/>
          <w:sz w:val="24"/>
          <w:szCs w:val="24"/>
        </w:rPr>
        <w:t xml:space="preserve">revealed </w:t>
      </w:r>
      <w:r w:rsidR="00505132" w:rsidRPr="001E310F">
        <w:rPr>
          <w:rFonts w:ascii="Arial" w:eastAsia="Times New Roman" w:hAnsi="Arial" w:cs="Arial"/>
          <w:bCs/>
          <w:sz w:val="24"/>
          <w:szCs w:val="24"/>
        </w:rPr>
        <w:t>that 61.3% of Batswana have access to improved sanitation facilities</w:t>
      </w:r>
      <w:r w:rsidR="00505132">
        <w:rPr>
          <w:rFonts w:ascii="Arial" w:eastAsia="Times New Roman" w:hAnsi="Arial" w:cs="Arial"/>
          <w:bCs/>
          <w:sz w:val="24"/>
          <w:szCs w:val="24"/>
        </w:rPr>
        <w:t>.</w:t>
      </w:r>
    </w:p>
    <w:p w:rsidR="0035129E" w:rsidRDefault="0035129E" w:rsidP="00117185">
      <w:pPr>
        <w:spacing w:line="360" w:lineRule="auto"/>
        <w:jc w:val="both"/>
        <w:rPr>
          <w:rFonts w:ascii="Arial" w:eastAsia="Calibri" w:hAnsi="Arial" w:cs="Arial"/>
          <w:sz w:val="24"/>
          <w:szCs w:val="24"/>
        </w:rPr>
      </w:pPr>
    </w:p>
    <w:p w:rsidR="00BF6A06" w:rsidRPr="0035129E" w:rsidRDefault="00BF6A06" w:rsidP="00117185">
      <w:pPr>
        <w:spacing w:line="360" w:lineRule="auto"/>
        <w:jc w:val="both"/>
        <w:rPr>
          <w:rFonts w:ascii="Arial" w:eastAsia="Calibri" w:hAnsi="Arial" w:cs="Arial"/>
          <w:sz w:val="24"/>
          <w:szCs w:val="24"/>
        </w:rPr>
      </w:pPr>
      <w:r w:rsidRPr="007A199D">
        <w:rPr>
          <w:rFonts w:ascii="Arial" w:eastAsia="Calibri" w:hAnsi="Arial" w:cs="Arial"/>
          <w:b/>
          <w:sz w:val="24"/>
          <w:szCs w:val="24"/>
        </w:rPr>
        <w:t>3.1.2</w:t>
      </w:r>
      <w:r w:rsidRPr="0035129E">
        <w:rPr>
          <w:rFonts w:ascii="Arial" w:eastAsia="Calibri" w:hAnsi="Arial" w:cs="Arial"/>
          <w:sz w:val="24"/>
          <w:szCs w:val="24"/>
        </w:rPr>
        <w:t xml:space="preserve"> </w:t>
      </w:r>
      <w:r w:rsidRPr="007A199D">
        <w:rPr>
          <w:rFonts w:ascii="Arial" w:eastAsia="Calibri" w:hAnsi="Arial" w:cs="Arial"/>
          <w:b/>
          <w:sz w:val="24"/>
          <w:szCs w:val="24"/>
        </w:rPr>
        <w:t xml:space="preserve">Major </w:t>
      </w:r>
      <w:r w:rsidR="00315943" w:rsidRPr="007A199D">
        <w:rPr>
          <w:rFonts w:ascii="Arial" w:eastAsia="Calibri" w:hAnsi="Arial" w:cs="Arial"/>
          <w:b/>
          <w:sz w:val="24"/>
          <w:szCs w:val="24"/>
        </w:rPr>
        <w:t xml:space="preserve">Government </w:t>
      </w:r>
      <w:proofErr w:type="spellStart"/>
      <w:r w:rsidR="00315943" w:rsidRPr="007A199D">
        <w:rPr>
          <w:rFonts w:ascii="Arial" w:eastAsia="Calibri" w:hAnsi="Arial" w:cs="Arial"/>
          <w:b/>
          <w:sz w:val="24"/>
          <w:szCs w:val="24"/>
        </w:rPr>
        <w:t>Programmes</w:t>
      </w:r>
      <w:proofErr w:type="spellEnd"/>
      <w:r w:rsidR="00315943" w:rsidRPr="007A199D">
        <w:rPr>
          <w:rFonts w:ascii="Arial" w:eastAsia="Calibri" w:hAnsi="Arial" w:cs="Arial"/>
          <w:b/>
          <w:sz w:val="24"/>
          <w:szCs w:val="24"/>
        </w:rPr>
        <w:t xml:space="preserve">/Initiatives and </w:t>
      </w:r>
      <w:r w:rsidRPr="007A199D">
        <w:rPr>
          <w:rFonts w:ascii="Arial" w:eastAsia="Calibri" w:hAnsi="Arial" w:cs="Arial"/>
          <w:b/>
          <w:sz w:val="24"/>
          <w:szCs w:val="24"/>
        </w:rPr>
        <w:t>Policy Interventions</w:t>
      </w:r>
    </w:p>
    <w:p w:rsidR="00584C15" w:rsidRDefault="004D32A2" w:rsidP="00117185">
      <w:pPr>
        <w:spacing w:line="360" w:lineRule="auto"/>
        <w:jc w:val="both"/>
        <w:rPr>
          <w:rFonts w:ascii="Arial" w:eastAsia="Calibri" w:hAnsi="Arial" w:cs="Arial"/>
          <w:sz w:val="24"/>
          <w:szCs w:val="24"/>
        </w:rPr>
      </w:pPr>
      <w:r w:rsidRPr="004D32A2">
        <w:rPr>
          <w:rFonts w:ascii="Arial" w:eastAsia="Calibri" w:hAnsi="Arial" w:cs="Arial"/>
          <w:sz w:val="24"/>
          <w:szCs w:val="24"/>
        </w:rPr>
        <w:t>Policy choices determine inequality outcomes</w:t>
      </w:r>
      <w:r w:rsidR="00BF6A06">
        <w:rPr>
          <w:rFonts w:ascii="Arial" w:eastAsia="Calibri" w:hAnsi="Arial" w:cs="Arial"/>
          <w:sz w:val="24"/>
          <w:szCs w:val="24"/>
        </w:rPr>
        <w:t xml:space="preserve"> and over the years Government took deliberate steps to keep it in check through various </w:t>
      </w:r>
      <w:proofErr w:type="spellStart"/>
      <w:r w:rsidR="00BF6A06">
        <w:rPr>
          <w:rFonts w:ascii="Arial" w:eastAsia="Calibri" w:hAnsi="Arial" w:cs="Arial"/>
          <w:sz w:val="24"/>
          <w:szCs w:val="24"/>
        </w:rPr>
        <w:t>programmes</w:t>
      </w:r>
      <w:proofErr w:type="spellEnd"/>
      <w:r w:rsidR="00BF6A06">
        <w:rPr>
          <w:rFonts w:ascii="Arial" w:eastAsia="Calibri" w:hAnsi="Arial" w:cs="Arial"/>
          <w:sz w:val="24"/>
          <w:szCs w:val="24"/>
        </w:rPr>
        <w:t xml:space="preserve"> and strategies that mainly target the </w:t>
      </w:r>
      <w:r w:rsidR="00EF25C5">
        <w:rPr>
          <w:rFonts w:ascii="Arial" w:eastAsia="Calibri" w:hAnsi="Arial" w:cs="Arial"/>
          <w:sz w:val="24"/>
          <w:szCs w:val="24"/>
        </w:rPr>
        <w:t xml:space="preserve">poor. These primarily offered grants through income generating initiatives such as the Poverty Eradication </w:t>
      </w:r>
      <w:proofErr w:type="spellStart"/>
      <w:r w:rsidR="00EF25C5">
        <w:rPr>
          <w:rFonts w:ascii="Arial" w:eastAsia="Calibri" w:hAnsi="Arial" w:cs="Arial"/>
          <w:sz w:val="24"/>
          <w:szCs w:val="24"/>
        </w:rPr>
        <w:t>Programme</w:t>
      </w:r>
      <w:proofErr w:type="spellEnd"/>
      <w:r w:rsidR="00EF25C5">
        <w:rPr>
          <w:rFonts w:ascii="Arial" w:eastAsia="Calibri" w:hAnsi="Arial" w:cs="Arial"/>
          <w:sz w:val="24"/>
          <w:szCs w:val="24"/>
        </w:rPr>
        <w:t xml:space="preserve">, Livestock Management and Infrastructure Development (LIMID) projects, as well as the Integrated Support </w:t>
      </w:r>
      <w:proofErr w:type="spellStart"/>
      <w:r w:rsidR="00EF25C5">
        <w:rPr>
          <w:rFonts w:ascii="Arial" w:eastAsia="Calibri" w:hAnsi="Arial" w:cs="Arial"/>
          <w:sz w:val="24"/>
          <w:szCs w:val="24"/>
        </w:rPr>
        <w:t>Programme</w:t>
      </w:r>
      <w:proofErr w:type="spellEnd"/>
      <w:r w:rsidR="00EF25C5">
        <w:rPr>
          <w:rFonts w:ascii="Arial" w:eastAsia="Calibri" w:hAnsi="Arial" w:cs="Arial"/>
          <w:sz w:val="24"/>
          <w:szCs w:val="24"/>
        </w:rPr>
        <w:t xml:space="preserve"> on Arable Agriculture Development (ISPAAD). </w:t>
      </w:r>
      <w:r w:rsidR="00505132">
        <w:rPr>
          <w:rFonts w:ascii="Arial" w:eastAsia="Calibri" w:hAnsi="Arial" w:cs="Arial"/>
          <w:sz w:val="24"/>
          <w:szCs w:val="24"/>
        </w:rPr>
        <w:t xml:space="preserve">The main objective </w:t>
      </w:r>
      <w:r w:rsidR="00CB7B2E">
        <w:rPr>
          <w:rFonts w:ascii="Arial" w:eastAsia="Calibri" w:hAnsi="Arial" w:cs="Arial"/>
          <w:sz w:val="24"/>
          <w:szCs w:val="24"/>
        </w:rPr>
        <w:t>being,</w:t>
      </w:r>
      <w:r w:rsidR="00EF25C5">
        <w:rPr>
          <w:rFonts w:ascii="Arial" w:eastAsia="Calibri" w:hAnsi="Arial" w:cs="Arial"/>
          <w:sz w:val="24"/>
          <w:szCs w:val="24"/>
        </w:rPr>
        <w:t xml:space="preserve"> </w:t>
      </w:r>
      <w:r w:rsidR="00CB7B2E">
        <w:rPr>
          <w:rFonts w:ascii="Arial" w:eastAsia="Calibri" w:hAnsi="Arial" w:cs="Arial"/>
          <w:sz w:val="24"/>
          <w:szCs w:val="24"/>
        </w:rPr>
        <w:t>to graduate</w:t>
      </w:r>
      <w:r w:rsidR="00EF25C5">
        <w:rPr>
          <w:rFonts w:ascii="Arial" w:eastAsia="Calibri" w:hAnsi="Arial" w:cs="Arial"/>
          <w:sz w:val="24"/>
          <w:szCs w:val="24"/>
        </w:rPr>
        <w:t xml:space="preserve"> the </w:t>
      </w:r>
      <w:proofErr w:type="gramStart"/>
      <w:r w:rsidR="00EF25C5">
        <w:rPr>
          <w:rFonts w:ascii="Arial" w:eastAsia="Calibri" w:hAnsi="Arial" w:cs="Arial"/>
          <w:sz w:val="24"/>
          <w:szCs w:val="24"/>
        </w:rPr>
        <w:t>low income</w:t>
      </w:r>
      <w:proofErr w:type="gramEnd"/>
      <w:r w:rsidR="00EF25C5">
        <w:rPr>
          <w:rFonts w:ascii="Arial" w:eastAsia="Calibri" w:hAnsi="Arial" w:cs="Arial"/>
          <w:sz w:val="24"/>
          <w:szCs w:val="24"/>
        </w:rPr>
        <w:t xml:space="preserve"> population out of poverty. The higher income brackets were funded through financial assistance </w:t>
      </w:r>
      <w:proofErr w:type="spellStart"/>
      <w:r w:rsidR="00EF25C5">
        <w:rPr>
          <w:rFonts w:ascii="Arial" w:eastAsia="Calibri" w:hAnsi="Arial" w:cs="Arial"/>
          <w:sz w:val="24"/>
          <w:szCs w:val="24"/>
        </w:rPr>
        <w:t>programmes</w:t>
      </w:r>
      <w:proofErr w:type="spellEnd"/>
      <w:r w:rsidR="00EF25C5">
        <w:rPr>
          <w:rFonts w:ascii="Arial" w:eastAsia="Calibri" w:hAnsi="Arial" w:cs="Arial"/>
          <w:sz w:val="24"/>
          <w:szCs w:val="24"/>
        </w:rPr>
        <w:t xml:space="preserve"> and</w:t>
      </w:r>
      <w:r w:rsidR="009147D8">
        <w:rPr>
          <w:rFonts w:ascii="Arial" w:eastAsia="Calibri" w:hAnsi="Arial" w:cs="Arial"/>
          <w:sz w:val="24"/>
          <w:szCs w:val="24"/>
        </w:rPr>
        <w:t xml:space="preserve"> soft loans</w:t>
      </w:r>
      <w:r w:rsidR="00BF6A06">
        <w:rPr>
          <w:rFonts w:ascii="Arial" w:eastAsia="Calibri" w:hAnsi="Arial" w:cs="Arial"/>
          <w:sz w:val="24"/>
          <w:szCs w:val="24"/>
        </w:rPr>
        <w:t xml:space="preserve"> </w:t>
      </w:r>
      <w:r w:rsidR="00EF25C5">
        <w:rPr>
          <w:rFonts w:ascii="Arial" w:eastAsia="Calibri" w:hAnsi="Arial" w:cs="Arial"/>
          <w:sz w:val="24"/>
          <w:szCs w:val="24"/>
        </w:rPr>
        <w:t>with a vie</w:t>
      </w:r>
      <w:r w:rsidR="009147D8">
        <w:rPr>
          <w:rFonts w:ascii="Arial" w:eastAsia="Calibri" w:hAnsi="Arial" w:cs="Arial"/>
          <w:sz w:val="24"/>
          <w:szCs w:val="24"/>
        </w:rPr>
        <w:t xml:space="preserve">w to develop sustainable businesses that would also provide massive jobs. </w:t>
      </w:r>
    </w:p>
    <w:p w:rsidR="00584C15" w:rsidRDefault="00584C15" w:rsidP="00117185">
      <w:pPr>
        <w:spacing w:line="360" w:lineRule="auto"/>
        <w:jc w:val="both"/>
        <w:rPr>
          <w:rFonts w:ascii="Arial" w:eastAsia="Calibri" w:hAnsi="Arial" w:cs="Arial"/>
          <w:sz w:val="24"/>
          <w:szCs w:val="24"/>
        </w:rPr>
      </w:pPr>
    </w:p>
    <w:p w:rsidR="000E218C" w:rsidRDefault="00584C15" w:rsidP="00117185">
      <w:pPr>
        <w:spacing w:line="360" w:lineRule="auto"/>
        <w:jc w:val="both"/>
        <w:rPr>
          <w:rFonts w:ascii="Arial" w:eastAsia="Calibri" w:hAnsi="Arial" w:cs="Arial"/>
          <w:sz w:val="24"/>
          <w:szCs w:val="24"/>
        </w:rPr>
      </w:pPr>
      <w:r>
        <w:rPr>
          <w:rFonts w:ascii="Arial" w:eastAsia="Calibri" w:hAnsi="Arial" w:cs="Arial"/>
          <w:sz w:val="24"/>
          <w:szCs w:val="24"/>
        </w:rPr>
        <w:lastRenderedPageBreak/>
        <w:t xml:space="preserve">Government also provided an enabling environment by building basic infrastructure and social services for delivery of services countrywide. Social protection initiatives include feeding </w:t>
      </w:r>
      <w:proofErr w:type="spellStart"/>
      <w:r>
        <w:rPr>
          <w:rFonts w:ascii="Arial" w:eastAsia="Calibri" w:hAnsi="Arial" w:cs="Arial"/>
          <w:sz w:val="24"/>
          <w:szCs w:val="24"/>
        </w:rPr>
        <w:t>programmes</w:t>
      </w:r>
      <w:proofErr w:type="spellEnd"/>
      <w:r>
        <w:rPr>
          <w:rFonts w:ascii="Arial" w:eastAsia="Calibri" w:hAnsi="Arial" w:cs="Arial"/>
          <w:sz w:val="24"/>
          <w:szCs w:val="24"/>
        </w:rPr>
        <w:t xml:space="preserve"> for vulnerable populations such as children under 5 years, school feeding </w:t>
      </w:r>
      <w:proofErr w:type="spellStart"/>
      <w:r>
        <w:rPr>
          <w:rFonts w:ascii="Arial" w:eastAsia="Calibri" w:hAnsi="Arial" w:cs="Arial"/>
          <w:sz w:val="24"/>
          <w:szCs w:val="24"/>
        </w:rPr>
        <w:t>programmes</w:t>
      </w:r>
      <w:proofErr w:type="spellEnd"/>
      <w:r>
        <w:rPr>
          <w:rFonts w:ascii="Arial" w:eastAsia="Calibri" w:hAnsi="Arial" w:cs="Arial"/>
          <w:sz w:val="24"/>
          <w:szCs w:val="24"/>
        </w:rPr>
        <w:t xml:space="preserve"> as well as destitute food baskets.</w:t>
      </w:r>
      <w:r w:rsidRPr="00584C15">
        <w:t xml:space="preserve"> </w:t>
      </w:r>
      <w:r>
        <w:rPr>
          <w:rFonts w:ascii="Arial" w:eastAsia="Calibri" w:hAnsi="Arial" w:cs="Arial"/>
          <w:sz w:val="24"/>
          <w:szCs w:val="24"/>
        </w:rPr>
        <w:t>P</w:t>
      </w:r>
      <w:r w:rsidRPr="00584C15">
        <w:rPr>
          <w:rFonts w:ascii="Arial" w:eastAsia="Calibri" w:hAnsi="Arial" w:cs="Arial"/>
          <w:sz w:val="24"/>
          <w:szCs w:val="24"/>
        </w:rPr>
        <w:t xml:space="preserve">rovision of </w:t>
      </w:r>
      <w:r>
        <w:rPr>
          <w:rFonts w:ascii="Arial" w:eastAsia="Calibri" w:hAnsi="Arial" w:cs="Arial"/>
          <w:sz w:val="24"/>
          <w:szCs w:val="24"/>
        </w:rPr>
        <w:t>basic amenities</w:t>
      </w:r>
      <w:r w:rsidRPr="00584C15">
        <w:rPr>
          <w:rFonts w:ascii="Arial" w:eastAsia="Calibri" w:hAnsi="Arial" w:cs="Arial"/>
          <w:sz w:val="24"/>
          <w:szCs w:val="24"/>
        </w:rPr>
        <w:t xml:space="preserve"> such as </w:t>
      </w:r>
      <w:r w:rsidR="000E1FD9">
        <w:rPr>
          <w:rFonts w:ascii="Arial" w:eastAsia="Calibri" w:hAnsi="Arial" w:cs="Arial"/>
          <w:sz w:val="24"/>
          <w:szCs w:val="24"/>
        </w:rPr>
        <w:t xml:space="preserve">running </w:t>
      </w:r>
      <w:r w:rsidRPr="00584C15">
        <w:rPr>
          <w:rFonts w:ascii="Arial" w:eastAsia="Calibri" w:hAnsi="Arial" w:cs="Arial"/>
          <w:sz w:val="24"/>
          <w:szCs w:val="24"/>
        </w:rPr>
        <w:t>water and electricity</w:t>
      </w:r>
      <w:r w:rsidR="007B11AC">
        <w:rPr>
          <w:rFonts w:ascii="Arial" w:eastAsia="Calibri" w:hAnsi="Arial" w:cs="Arial"/>
          <w:sz w:val="24"/>
          <w:szCs w:val="24"/>
        </w:rPr>
        <w:t>,</w:t>
      </w:r>
      <w:r w:rsidR="000E1FD9">
        <w:rPr>
          <w:rFonts w:ascii="Arial" w:eastAsia="Calibri" w:hAnsi="Arial" w:cs="Arial"/>
          <w:sz w:val="24"/>
          <w:szCs w:val="24"/>
        </w:rPr>
        <w:t xml:space="preserve"> facilitates realization of</w:t>
      </w:r>
      <w:r w:rsidR="000E1FD9" w:rsidRPr="000E1FD9">
        <w:rPr>
          <w:rFonts w:ascii="Arial" w:eastAsia="Calibri" w:hAnsi="Arial" w:cs="Arial"/>
          <w:sz w:val="24"/>
          <w:szCs w:val="24"/>
        </w:rPr>
        <w:t xml:space="preserve"> </w:t>
      </w:r>
      <w:r w:rsidR="007B11AC">
        <w:rPr>
          <w:rFonts w:ascii="Arial" w:eastAsia="Calibri" w:hAnsi="Arial" w:cs="Arial"/>
          <w:sz w:val="24"/>
          <w:szCs w:val="24"/>
        </w:rPr>
        <w:t xml:space="preserve">the important </w:t>
      </w:r>
      <w:r w:rsidR="000E1FD9" w:rsidRPr="000E1FD9">
        <w:rPr>
          <w:rFonts w:ascii="Arial" w:eastAsia="Calibri" w:hAnsi="Arial" w:cs="Arial"/>
          <w:sz w:val="24"/>
          <w:szCs w:val="24"/>
        </w:rPr>
        <w:t>education and health outcomes</w:t>
      </w:r>
      <w:r w:rsidR="000E1FD9">
        <w:rPr>
          <w:rFonts w:ascii="Arial" w:eastAsia="Calibri" w:hAnsi="Arial" w:cs="Arial"/>
          <w:sz w:val="24"/>
          <w:szCs w:val="24"/>
        </w:rPr>
        <w:t>. It also contributes towards improving people’s lives,</w:t>
      </w:r>
      <w:r w:rsidR="000E1FD9" w:rsidRPr="000E1FD9">
        <w:t xml:space="preserve"> </w:t>
      </w:r>
      <w:r w:rsidR="000E1FD9" w:rsidRPr="000E1FD9">
        <w:rPr>
          <w:rFonts w:ascii="Arial" w:eastAsia="Calibri" w:hAnsi="Arial" w:cs="Arial"/>
          <w:sz w:val="24"/>
          <w:szCs w:val="24"/>
        </w:rPr>
        <w:t>including those living with disabilities</w:t>
      </w:r>
      <w:r w:rsidR="007B11AC">
        <w:rPr>
          <w:rFonts w:ascii="Arial" w:eastAsia="Calibri" w:hAnsi="Arial" w:cs="Arial"/>
          <w:sz w:val="24"/>
          <w:szCs w:val="24"/>
        </w:rPr>
        <w:t>. It also</w:t>
      </w:r>
      <w:r w:rsidR="000E1FD9">
        <w:rPr>
          <w:rFonts w:ascii="Arial" w:eastAsia="Calibri" w:hAnsi="Arial" w:cs="Arial"/>
          <w:sz w:val="24"/>
          <w:szCs w:val="24"/>
        </w:rPr>
        <w:t xml:space="preserve"> increases their resilience to make sustainable livelihoods. </w:t>
      </w:r>
    </w:p>
    <w:p w:rsidR="00117185" w:rsidRPr="00F606A2" w:rsidRDefault="000E1FD9" w:rsidP="00117185">
      <w:pPr>
        <w:spacing w:line="360" w:lineRule="auto"/>
        <w:jc w:val="both"/>
        <w:rPr>
          <w:rFonts w:ascii="Arial" w:hAnsi="Arial" w:cs="Arial"/>
          <w:sz w:val="24"/>
          <w:szCs w:val="24"/>
        </w:rPr>
      </w:pPr>
      <w:r>
        <w:rPr>
          <w:rFonts w:ascii="Arial" w:eastAsia="Calibri" w:hAnsi="Arial" w:cs="Arial"/>
          <w:sz w:val="24"/>
          <w:szCs w:val="24"/>
        </w:rPr>
        <w:t xml:space="preserve">The </w:t>
      </w:r>
      <w:r w:rsidRPr="007A199D">
        <w:rPr>
          <w:rFonts w:ascii="Arial" w:eastAsia="Calibri" w:hAnsi="Arial" w:cs="Arial"/>
          <w:i/>
          <w:sz w:val="24"/>
          <w:szCs w:val="24"/>
        </w:rPr>
        <w:t>Leave No One Behind</w:t>
      </w:r>
      <w:r>
        <w:rPr>
          <w:rFonts w:ascii="Arial" w:eastAsia="Calibri" w:hAnsi="Arial" w:cs="Arial"/>
          <w:sz w:val="24"/>
          <w:szCs w:val="24"/>
        </w:rPr>
        <w:t xml:space="preserve"> (LNOB) Outcome Document produced at a March 2018 poverty conference</w:t>
      </w:r>
      <w:r w:rsidR="00584C15">
        <w:rPr>
          <w:rFonts w:ascii="Arial" w:eastAsia="Calibri" w:hAnsi="Arial" w:cs="Arial"/>
          <w:sz w:val="24"/>
          <w:szCs w:val="24"/>
        </w:rPr>
        <w:t xml:space="preserve"> </w:t>
      </w:r>
      <w:r>
        <w:rPr>
          <w:rFonts w:ascii="Arial" w:eastAsia="Calibri" w:hAnsi="Arial" w:cs="Arial"/>
          <w:sz w:val="24"/>
          <w:szCs w:val="24"/>
        </w:rPr>
        <w:t xml:space="preserve">in Botswana offers more means of </w:t>
      </w:r>
      <w:r w:rsidR="000E218C">
        <w:rPr>
          <w:rFonts w:ascii="Arial" w:eastAsia="Calibri" w:hAnsi="Arial" w:cs="Arial"/>
          <w:sz w:val="24"/>
          <w:szCs w:val="24"/>
        </w:rPr>
        <w:t>implementi</w:t>
      </w:r>
      <w:r>
        <w:rPr>
          <w:rFonts w:ascii="Arial" w:eastAsia="Calibri" w:hAnsi="Arial" w:cs="Arial"/>
          <w:sz w:val="24"/>
          <w:szCs w:val="24"/>
        </w:rPr>
        <w:t xml:space="preserve">ng the goals and priority areas of </w:t>
      </w:r>
      <w:r w:rsidR="00874B59">
        <w:rPr>
          <w:rFonts w:ascii="Arial" w:eastAsia="Calibri" w:hAnsi="Arial" w:cs="Arial"/>
          <w:sz w:val="24"/>
          <w:szCs w:val="24"/>
        </w:rPr>
        <w:t>the</w:t>
      </w:r>
      <w:r w:rsidR="000E218C">
        <w:rPr>
          <w:rFonts w:ascii="Arial" w:eastAsia="Calibri" w:hAnsi="Arial" w:cs="Arial"/>
          <w:sz w:val="24"/>
          <w:szCs w:val="24"/>
        </w:rPr>
        <w:t xml:space="preserve"> Agenda 2063</w:t>
      </w:r>
      <w:r w:rsidR="00874B59">
        <w:rPr>
          <w:rFonts w:ascii="Arial" w:eastAsia="Calibri" w:hAnsi="Arial" w:cs="Arial"/>
          <w:sz w:val="24"/>
          <w:szCs w:val="24"/>
        </w:rPr>
        <w:t xml:space="preserve"> aspirations.</w:t>
      </w:r>
    </w:p>
    <w:p w:rsidR="005E4DA1" w:rsidRPr="007826B5" w:rsidRDefault="005E4DA1" w:rsidP="007826B5">
      <w:pPr>
        <w:autoSpaceDE w:val="0"/>
        <w:autoSpaceDN w:val="0"/>
        <w:adjustRightInd w:val="0"/>
        <w:spacing w:after="0" w:line="360" w:lineRule="auto"/>
        <w:jc w:val="both"/>
        <w:rPr>
          <w:rFonts w:ascii="Arial" w:hAnsi="Arial" w:cs="Arial"/>
          <w:sz w:val="24"/>
          <w:szCs w:val="24"/>
        </w:rPr>
      </w:pPr>
    </w:p>
    <w:p w:rsidR="00D55A5F" w:rsidRDefault="00133510" w:rsidP="007826B5">
      <w:pPr>
        <w:pStyle w:val="Heading2"/>
        <w:rPr>
          <w:rStyle w:val="Heading2Char"/>
          <w:rFonts w:ascii="Arial" w:hAnsi="Arial" w:cs="Arial"/>
          <w:b/>
          <w:color w:val="0D0D0D" w:themeColor="text1" w:themeTint="F2"/>
          <w:sz w:val="28"/>
          <w:szCs w:val="28"/>
        </w:rPr>
      </w:pPr>
      <w:r w:rsidRPr="007A199D">
        <w:rPr>
          <w:rFonts w:ascii="Arial" w:hAnsi="Arial" w:cs="Arial"/>
          <w:b/>
          <w:color w:val="0D0D0D" w:themeColor="text1" w:themeTint="F2"/>
          <w:sz w:val="28"/>
          <w:szCs w:val="28"/>
        </w:rPr>
        <w:t xml:space="preserve">3.2 </w:t>
      </w:r>
      <w:r w:rsidR="00D55A5F" w:rsidRPr="007A199D">
        <w:rPr>
          <w:rStyle w:val="Heading2Char"/>
          <w:rFonts w:ascii="Arial" w:hAnsi="Arial" w:cs="Arial"/>
          <w:b/>
          <w:color w:val="0D0D0D" w:themeColor="text1" w:themeTint="F2"/>
          <w:sz w:val="28"/>
          <w:szCs w:val="28"/>
        </w:rPr>
        <w:t>Goal 2</w:t>
      </w:r>
      <w:r w:rsidR="0060407A" w:rsidRPr="007A199D">
        <w:rPr>
          <w:rStyle w:val="Heading2Char"/>
          <w:rFonts w:ascii="Arial" w:hAnsi="Arial" w:cs="Arial"/>
          <w:b/>
          <w:color w:val="0D0D0D" w:themeColor="text1" w:themeTint="F2"/>
          <w:sz w:val="28"/>
          <w:szCs w:val="28"/>
        </w:rPr>
        <w:t>:</w:t>
      </w:r>
      <w:r w:rsidR="00D55A5F" w:rsidRPr="007A199D">
        <w:rPr>
          <w:rStyle w:val="Heading2Char"/>
          <w:rFonts w:ascii="Arial" w:hAnsi="Arial" w:cs="Arial"/>
          <w:b/>
          <w:color w:val="0D0D0D" w:themeColor="text1" w:themeTint="F2"/>
          <w:sz w:val="28"/>
          <w:szCs w:val="28"/>
        </w:rPr>
        <w:t xml:space="preserve"> Well Educated Citizens and Skill</w:t>
      </w:r>
      <w:r w:rsidR="00E859B7">
        <w:rPr>
          <w:rStyle w:val="Heading2Char"/>
          <w:rFonts w:ascii="Arial" w:hAnsi="Arial" w:cs="Arial"/>
          <w:b/>
          <w:color w:val="0D0D0D" w:themeColor="text1" w:themeTint="F2"/>
          <w:sz w:val="28"/>
          <w:szCs w:val="28"/>
        </w:rPr>
        <w:t>s</w:t>
      </w:r>
      <w:r w:rsidR="00D55A5F" w:rsidRPr="007A199D">
        <w:rPr>
          <w:rStyle w:val="Heading2Char"/>
          <w:rFonts w:ascii="Arial" w:hAnsi="Arial" w:cs="Arial"/>
          <w:b/>
          <w:color w:val="0D0D0D" w:themeColor="text1" w:themeTint="F2"/>
          <w:sz w:val="28"/>
          <w:szCs w:val="28"/>
        </w:rPr>
        <w:t xml:space="preserve"> Revolution Underpinned </w:t>
      </w:r>
      <w:proofErr w:type="gramStart"/>
      <w:r w:rsidR="00D55A5F" w:rsidRPr="007A199D">
        <w:rPr>
          <w:rStyle w:val="Heading2Char"/>
          <w:rFonts w:ascii="Arial" w:hAnsi="Arial" w:cs="Arial"/>
          <w:b/>
          <w:color w:val="0D0D0D" w:themeColor="text1" w:themeTint="F2"/>
          <w:sz w:val="28"/>
          <w:szCs w:val="28"/>
        </w:rPr>
        <w:t>by</w:t>
      </w:r>
      <w:r w:rsidR="007826B5" w:rsidRPr="007A199D">
        <w:rPr>
          <w:rStyle w:val="Heading2Char"/>
          <w:rFonts w:ascii="Arial" w:hAnsi="Arial" w:cs="Arial"/>
          <w:b/>
          <w:color w:val="0D0D0D" w:themeColor="text1" w:themeTint="F2"/>
          <w:sz w:val="28"/>
          <w:szCs w:val="28"/>
        </w:rPr>
        <w:t xml:space="preserve">  </w:t>
      </w:r>
      <w:r w:rsidR="00D55A5F" w:rsidRPr="007A199D">
        <w:rPr>
          <w:rStyle w:val="Heading2Char"/>
          <w:rFonts w:ascii="Arial" w:hAnsi="Arial" w:cs="Arial"/>
          <w:b/>
          <w:color w:val="0D0D0D" w:themeColor="text1" w:themeTint="F2"/>
          <w:sz w:val="28"/>
          <w:szCs w:val="28"/>
        </w:rPr>
        <w:t>Science</w:t>
      </w:r>
      <w:proofErr w:type="gramEnd"/>
      <w:r w:rsidR="00D55A5F" w:rsidRPr="007A199D">
        <w:rPr>
          <w:rStyle w:val="Heading2Char"/>
          <w:rFonts w:ascii="Arial" w:hAnsi="Arial" w:cs="Arial"/>
          <w:b/>
          <w:color w:val="0D0D0D" w:themeColor="text1" w:themeTint="F2"/>
          <w:sz w:val="28"/>
          <w:szCs w:val="28"/>
        </w:rPr>
        <w:t>, Technology and Innovation</w:t>
      </w:r>
    </w:p>
    <w:p w:rsidR="00315943" w:rsidRPr="007A199D" w:rsidRDefault="00315943" w:rsidP="007A199D"/>
    <w:p w:rsidR="00DE0A28" w:rsidRDefault="00E32265" w:rsidP="00E32265">
      <w:pPr>
        <w:pStyle w:val="Heading3"/>
        <w:rPr>
          <w:rFonts w:ascii="Arial" w:eastAsia="Times New Roman" w:hAnsi="Arial" w:cs="Arial"/>
          <w:b/>
          <w:color w:val="auto"/>
        </w:rPr>
      </w:pPr>
      <w:r w:rsidRPr="00F87338">
        <w:rPr>
          <w:rFonts w:ascii="Arial" w:eastAsia="Times New Roman" w:hAnsi="Arial" w:cs="Arial"/>
          <w:b/>
          <w:color w:val="auto"/>
        </w:rPr>
        <w:t>3.2.1 Overall Progress</w:t>
      </w:r>
    </w:p>
    <w:p w:rsidR="00E32265" w:rsidRPr="00F87338" w:rsidRDefault="00E32265" w:rsidP="00E32265">
      <w:pPr>
        <w:pStyle w:val="Heading3"/>
        <w:rPr>
          <w:rFonts w:ascii="Arial" w:eastAsia="Times New Roman" w:hAnsi="Arial" w:cs="Arial"/>
          <w:b/>
          <w:color w:val="auto"/>
        </w:rPr>
      </w:pPr>
      <w:r w:rsidRPr="00F87338">
        <w:rPr>
          <w:rFonts w:ascii="Arial" w:eastAsia="Times New Roman" w:hAnsi="Arial" w:cs="Arial"/>
          <w:b/>
          <w:color w:val="auto"/>
        </w:rPr>
        <w:t xml:space="preserve"> </w:t>
      </w:r>
    </w:p>
    <w:p w:rsidR="00EB4609" w:rsidRDefault="00B717F6" w:rsidP="00E32265">
      <w:pPr>
        <w:autoSpaceDE w:val="0"/>
        <w:autoSpaceDN w:val="0"/>
        <w:adjustRightInd w:val="0"/>
        <w:spacing w:after="0" w:line="360" w:lineRule="auto"/>
        <w:jc w:val="both"/>
        <w:rPr>
          <w:rFonts w:ascii="Arial" w:eastAsia="Times New Roman" w:hAnsi="Arial" w:cs="Arial"/>
          <w:bCs/>
          <w:sz w:val="24"/>
          <w:szCs w:val="24"/>
        </w:rPr>
      </w:pPr>
      <w:r w:rsidRPr="00F606A2">
        <w:rPr>
          <w:rFonts w:ascii="Arial" w:eastAsia="Times New Roman" w:hAnsi="Arial" w:cs="Arial"/>
          <w:bCs/>
          <w:sz w:val="24"/>
          <w:szCs w:val="24"/>
        </w:rPr>
        <w:t xml:space="preserve">The country considers education to be a basic right of every </w:t>
      </w:r>
      <w:proofErr w:type="gramStart"/>
      <w:r w:rsidRPr="00F606A2">
        <w:rPr>
          <w:rFonts w:ascii="Arial" w:eastAsia="Times New Roman" w:hAnsi="Arial" w:cs="Arial"/>
          <w:bCs/>
          <w:sz w:val="24"/>
          <w:szCs w:val="24"/>
        </w:rPr>
        <w:t>child, and</w:t>
      </w:r>
      <w:proofErr w:type="gramEnd"/>
      <w:r w:rsidRPr="00F606A2">
        <w:rPr>
          <w:rFonts w:ascii="Arial" w:eastAsia="Times New Roman" w:hAnsi="Arial" w:cs="Arial"/>
          <w:bCs/>
          <w:sz w:val="24"/>
          <w:szCs w:val="24"/>
        </w:rPr>
        <w:t xml:space="preserve"> is committed to </w:t>
      </w:r>
      <w:r w:rsidR="007B11AC">
        <w:rPr>
          <w:rFonts w:ascii="Arial" w:eastAsia="Times New Roman" w:hAnsi="Arial" w:cs="Arial"/>
          <w:bCs/>
          <w:sz w:val="24"/>
          <w:szCs w:val="24"/>
        </w:rPr>
        <w:t xml:space="preserve">producing </w:t>
      </w:r>
      <w:r w:rsidR="007B11AC" w:rsidRPr="007A199D">
        <w:rPr>
          <w:rFonts w:ascii="Arial" w:eastAsia="Times New Roman" w:hAnsi="Arial" w:cs="Arial"/>
          <w:bCs/>
          <w:i/>
          <w:sz w:val="24"/>
          <w:szCs w:val="24"/>
        </w:rPr>
        <w:t>a well-educated citizenry with skills underpinned by science, technology and innovation</w:t>
      </w:r>
      <w:r w:rsidR="007B11AC">
        <w:rPr>
          <w:rFonts w:ascii="Arial" w:eastAsia="Times New Roman" w:hAnsi="Arial" w:cs="Arial"/>
          <w:bCs/>
          <w:sz w:val="24"/>
          <w:szCs w:val="24"/>
        </w:rPr>
        <w:t>. Government comes a long way in investing in</w:t>
      </w:r>
      <w:r w:rsidRPr="00F606A2">
        <w:rPr>
          <w:rFonts w:ascii="Arial" w:eastAsia="Times New Roman" w:hAnsi="Arial" w:cs="Arial"/>
          <w:bCs/>
          <w:sz w:val="24"/>
          <w:szCs w:val="24"/>
        </w:rPr>
        <w:t xml:space="preserve"> access and equity to </w:t>
      </w:r>
      <w:r w:rsidR="007B11AC">
        <w:rPr>
          <w:rFonts w:ascii="Arial" w:eastAsia="Times New Roman" w:hAnsi="Arial" w:cs="Arial"/>
          <w:bCs/>
          <w:sz w:val="24"/>
          <w:szCs w:val="24"/>
        </w:rPr>
        <w:t>10-</w:t>
      </w:r>
      <w:r w:rsidRPr="00F606A2">
        <w:rPr>
          <w:rFonts w:ascii="Arial" w:eastAsia="Times New Roman" w:hAnsi="Arial" w:cs="Arial"/>
          <w:bCs/>
          <w:sz w:val="24"/>
          <w:szCs w:val="24"/>
        </w:rPr>
        <w:t>year</w:t>
      </w:r>
      <w:r>
        <w:rPr>
          <w:rFonts w:ascii="Arial" w:eastAsia="Times New Roman" w:hAnsi="Arial" w:cs="Arial"/>
          <w:bCs/>
          <w:sz w:val="24"/>
          <w:szCs w:val="24"/>
        </w:rPr>
        <w:t xml:space="preserve"> </w:t>
      </w:r>
      <w:r w:rsidRPr="00F606A2">
        <w:rPr>
          <w:rFonts w:ascii="Arial" w:eastAsia="Times New Roman" w:hAnsi="Arial" w:cs="Arial"/>
          <w:bCs/>
          <w:sz w:val="24"/>
          <w:szCs w:val="24"/>
        </w:rPr>
        <w:t xml:space="preserve">quality basic education. </w:t>
      </w:r>
      <w:r w:rsidR="00E32265" w:rsidRPr="00F87338">
        <w:rPr>
          <w:rFonts w:ascii="Arial" w:eastAsia="Times New Roman" w:hAnsi="Arial" w:cs="Arial"/>
          <w:bCs/>
          <w:sz w:val="24"/>
          <w:szCs w:val="24"/>
        </w:rPr>
        <w:t>According to the 2017 Botswana Demographic Survey report, the primary school net enrolment ratio (NER) has been increasing over the years</w:t>
      </w:r>
      <w:r>
        <w:rPr>
          <w:rFonts w:ascii="Arial" w:eastAsia="Times New Roman" w:hAnsi="Arial" w:cs="Arial"/>
          <w:bCs/>
          <w:sz w:val="24"/>
          <w:szCs w:val="24"/>
        </w:rPr>
        <w:t xml:space="preserve"> for</w:t>
      </w:r>
      <w:r w:rsidR="00E32265" w:rsidRPr="00F87338">
        <w:rPr>
          <w:rFonts w:ascii="Arial" w:eastAsia="Times New Roman" w:hAnsi="Arial" w:cs="Arial"/>
          <w:bCs/>
          <w:sz w:val="24"/>
          <w:szCs w:val="24"/>
        </w:rPr>
        <w:t xml:space="preserve"> </w:t>
      </w:r>
      <w:r w:rsidRPr="00B717F6">
        <w:rPr>
          <w:rFonts w:ascii="Arial" w:eastAsia="Times New Roman" w:hAnsi="Arial" w:cs="Arial"/>
          <w:bCs/>
          <w:sz w:val="24"/>
          <w:szCs w:val="24"/>
        </w:rPr>
        <w:t>children of primary school age</w:t>
      </w:r>
      <w:r>
        <w:rPr>
          <w:rFonts w:ascii="Arial" w:eastAsia="Times New Roman" w:hAnsi="Arial" w:cs="Arial"/>
          <w:bCs/>
          <w:sz w:val="24"/>
          <w:szCs w:val="24"/>
        </w:rPr>
        <w:t>,</w:t>
      </w:r>
      <w:r w:rsidRPr="00B717F6">
        <w:rPr>
          <w:rFonts w:ascii="Arial" w:eastAsia="Times New Roman" w:hAnsi="Arial" w:cs="Arial"/>
          <w:bCs/>
          <w:sz w:val="24"/>
          <w:szCs w:val="24"/>
        </w:rPr>
        <w:t xml:space="preserve"> from 86.9% in 2007</w:t>
      </w:r>
      <w:r>
        <w:rPr>
          <w:rFonts w:ascii="Arial" w:eastAsia="Times New Roman" w:hAnsi="Arial" w:cs="Arial"/>
          <w:bCs/>
          <w:sz w:val="24"/>
          <w:szCs w:val="24"/>
        </w:rPr>
        <w:t xml:space="preserve"> </w:t>
      </w:r>
      <w:r w:rsidR="00E32265" w:rsidRPr="00B717F6">
        <w:rPr>
          <w:rFonts w:ascii="Arial" w:eastAsia="Times New Roman" w:hAnsi="Arial" w:cs="Arial"/>
          <w:bCs/>
          <w:sz w:val="24"/>
          <w:szCs w:val="24"/>
        </w:rPr>
        <w:t>reaching 90.2%</w:t>
      </w:r>
      <w:r>
        <w:rPr>
          <w:rFonts w:ascii="Arial" w:eastAsia="Times New Roman" w:hAnsi="Arial" w:cs="Arial"/>
          <w:bCs/>
          <w:sz w:val="24"/>
          <w:szCs w:val="24"/>
        </w:rPr>
        <w:t>.</w:t>
      </w:r>
      <w:r w:rsidR="007B0586">
        <w:rPr>
          <w:rFonts w:ascii="Arial" w:eastAsia="Times New Roman" w:hAnsi="Arial" w:cs="Arial"/>
          <w:bCs/>
          <w:sz w:val="24"/>
          <w:szCs w:val="24"/>
        </w:rPr>
        <w:t xml:space="preserve"> The country also reached parity between</w:t>
      </w:r>
      <w:r w:rsidR="004C2DBA">
        <w:rPr>
          <w:rFonts w:ascii="Arial" w:eastAsia="Times New Roman" w:hAnsi="Arial" w:cs="Arial"/>
          <w:bCs/>
          <w:sz w:val="24"/>
          <w:szCs w:val="24"/>
        </w:rPr>
        <w:t xml:space="preserve"> the enrolment of</w:t>
      </w:r>
      <w:r w:rsidR="007B0586">
        <w:rPr>
          <w:rFonts w:ascii="Arial" w:eastAsia="Times New Roman" w:hAnsi="Arial" w:cs="Arial"/>
          <w:bCs/>
          <w:sz w:val="24"/>
          <w:szCs w:val="24"/>
        </w:rPr>
        <w:t xml:space="preserve"> boys (90.0%) and girls (90.3%).</w:t>
      </w:r>
      <w:r>
        <w:rPr>
          <w:rFonts w:ascii="Arial" w:eastAsia="Times New Roman" w:hAnsi="Arial" w:cs="Arial"/>
          <w:bCs/>
          <w:sz w:val="24"/>
          <w:szCs w:val="24"/>
        </w:rPr>
        <w:t xml:space="preserve"> </w:t>
      </w:r>
      <w:r w:rsidR="00E32265" w:rsidRPr="00B717F6">
        <w:rPr>
          <w:rFonts w:ascii="Arial" w:eastAsia="Times New Roman" w:hAnsi="Arial" w:cs="Arial"/>
          <w:bCs/>
          <w:sz w:val="24"/>
          <w:szCs w:val="24"/>
        </w:rPr>
        <w:t xml:space="preserve">However, the NER for ages 7 to 12 years </w:t>
      </w:r>
      <w:r w:rsidR="00EB4609">
        <w:rPr>
          <w:rFonts w:ascii="Arial" w:eastAsia="Times New Roman" w:hAnsi="Arial" w:cs="Arial"/>
          <w:bCs/>
          <w:sz w:val="24"/>
          <w:szCs w:val="24"/>
        </w:rPr>
        <w:t>remains higher of those who begin school at 6 years of age.</w:t>
      </w:r>
      <w:r w:rsidR="00E32265" w:rsidRPr="00F87338">
        <w:rPr>
          <w:rFonts w:ascii="Arial" w:eastAsia="Times New Roman" w:hAnsi="Arial" w:cs="Arial"/>
          <w:bCs/>
          <w:sz w:val="24"/>
          <w:szCs w:val="24"/>
        </w:rPr>
        <w:t xml:space="preserve"> </w:t>
      </w:r>
    </w:p>
    <w:p w:rsidR="00EB4609" w:rsidRDefault="00EB4609" w:rsidP="00E32265">
      <w:pPr>
        <w:autoSpaceDE w:val="0"/>
        <w:autoSpaceDN w:val="0"/>
        <w:adjustRightInd w:val="0"/>
        <w:spacing w:after="0" w:line="360" w:lineRule="auto"/>
        <w:jc w:val="both"/>
        <w:rPr>
          <w:rFonts w:ascii="Arial" w:eastAsia="Times New Roman" w:hAnsi="Arial" w:cs="Arial"/>
          <w:bCs/>
          <w:sz w:val="24"/>
          <w:szCs w:val="24"/>
        </w:rPr>
      </w:pPr>
    </w:p>
    <w:p w:rsidR="00A06AC1" w:rsidRDefault="00E32265" w:rsidP="00E32265">
      <w:pPr>
        <w:autoSpaceDE w:val="0"/>
        <w:autoSpaceDN w:val="0"/>
        <w:adjustRightInd w:val="0"/>
        <w:spacing w:after="0" w:line="360" w:lineRule="auto"/>
        <w:jc w:val="both"/>
        <w:rPr>
          <w:rFonts w:ascii="Arial" w:eastAsia="Times New Roman" w:hAnsi="Arial" w:cs="Arial"/>
          <w:bCs/>
          <w:sz w:val="24"/>
          <w:szCs w:val="24"/>
        </w:rPr>
      </w:pPr>
      <w:r w:rsidRPr="00F87338">
        <w:rPr>
          <w:rFonts w:ascii="Arial" w:eastAsia="Times New Roman" w:hAnsi="Arial" w:cs="Arial"/>
          <w:bCs/>
          <w:sz w:val="24"/>
          <w:szCs w:val="24"/>
        </w:rPr>
        <w:t xml:space="preserve">A similar trend was also observed in secondary </w:t>
      </w:r>
      <w:r w:rsidR="004C2DBA">
        <w:rPr>
          <w:rFonts w:ascii="Arial" w:eastAsia="Times New Roman" w:hAnsi="Arial" w:cs="Arial"/>
          <w:bCs/>
          <w:sz w:val="24"/>
          <w:szCs w:val="24"/>
        </w:rPr>
        <w:t>education,</w:t>
      </w:r>
      <w:r w:rsidR="004C2DBA" w:rsidRPr="00F87338">
        <w:rPr>
          <w:rFonts w:ascii="Arial" w:eastAsia="Times New Roman" w:hAnsi="Arial" w:cs="Arial"/>
          <w:bCs/>
          <w:sz w:val="24"/>
          <w:szCs w:val="24"/>
        </w:rPr>
        <w:t xml:space="preserve"> </w:t>
      </w:r>
      <w:r w:rsidR="004C2DBA">
        <w:rPr>
          <w:rFonts w:ascii="Arial" w:eastAsia="Times New Roman" w:hAnsi="Arial" w:cs="Arial"/>
          <w:bCs/>
          <w:sz w:val="24"/>
          <w:szCs w:val="24"/>
        </w:rPr>
        <w:t xml:space="preserve">where in 2017 </w:t>
      </w:r>
      <w:r w:rsidRPr="00F87338">
        <w:rPr>
          <w:rFonts w:ascii="Arial" w:eastAsia="Times New Roman" w:hAnsi="Arial" w:cs="Arial"/>
          <w:bCs/>
          <w:sz w:val="24"/>
          <w:szCs w:val="24"/>
        </w:rPr>
        <w:t xml:space="preserve">the highest net enrollment ratio of 81.7% </w:t>
      </w:r>
      <w:r w:rsidR="004C2DBA">
        <w:rPr>
          <w:rFonts w:ascii="Arial" w:eastAsia="Times New Roman" w:hAnsi="Arial" w:cs="Arial"/>
          <w:bCs/>
          <w:sz w:val="24"/>
          <w:szCs w:val="24"/>
        </w:rPr>
        <w:t xml:space="preserve">was </w:t>
      </w:r>
      <w:r w:rsidR="00A0634C">
        <w:rPr>
          <w:rFonts w:ascii="Arial" w:eastAsia="Times New Roman" w:hAnsi="Arial" w:cs="Arial"/>
          <w:bCs/>
          <w:sz w:val="24"/>
          <w:szCs w:val="24"/>
        </w:rPr>
        <w:t xml:space="preserve">experienced </w:t>
      </w:r>
      <w:r w:rsidRPr="00F87338">
        <w:rPr>
          <w:rFonts w:ascii="Arial" w:eastAsia="Times New Roman" w:hAnsi="Arial" w:cs="Arial"/>
          <w:bCs/>
          <w:sz w:val="24"/>
          <w:szCs w:val="24"/>
        </w:rPr>
        <w:t>at age 16 years, followed by ages 15</w:t>
      </w:r>
      <w:r w:rsidR="00A0634C">
        <w:rPr>
          <w:rFonts w:ascii="Arial" w:eastAsia="Times New Roman" w:hAnsi="Arial" w:cs="Arial"/>
          <w:bCs/>
          <w:sz w:val="24"/>
          <w:szCs w:val="24"/>
        </w:rPr>
        <w:t xml:space="preserve"> (74.6%)</w:t>
      </w:r>
      <w:r w:rsidRPr="00F87338">
        <w:rPr>
          <w:rFonts w:ascii="Arial" w:eastAsia="Times New Roman" w:hAnsi="Arial" w:cs="Arial"/>
          <w:bCs/>
          <w:sz w:val="24"/>
          <w:szCs w:val="24"/>
        </w:rPr>
        <w:t>, 17</w:t>
      </w:r>
      <w:r w:rsidR="00A0634C">
        <w:rPr>
          <w:rFonts w:ascii="Arial" w:eastAsia="Times New Roman" w:hAnsi="Arial" w:cs="Arial"/>
          <w:bCs/>
          <w:sz w:val="24"/>
          <w:szCs w:val="24"/>
        </w:rPr>
        <w:t xml:space="preserve"> (68.5%)</w:t>
      </w:r>
      <w:r w:rsidRPr="00F87338">
        <w:rPr>
          <w:rFonts w:ascii="Arial" w:eastAsia="Times New Roman" w:hAnsi="Arial" w:cs="Arial"/>
          <w:bCs/>
          <w:sz w:val="24"/>
          <w:szCs w:val="24"/>
        </w:rPr>
        <w:t xml:space="preserve">, 14 </w:t>
      </w:r>
      <w:r w:rsidR="00A0634C">
        <w:rPr>
          <w:rFonts w:ascii="Arial" w:eastAsia="Times New Roman" w:hAnsi="Arial" w:cs="Arial"/>
          <w:bCs/>
          <w:sz w:val="24"/>
          <w:szCs w:val="24"/>
        </w:rPr>
        <w:t xml:space="preserve">(36.7%) </w:t>
      </w:r>
      <w:r w:rsidRPr="00F87338">
        <w:rPr>
          <w:rFonts w:ascii="Arial" w:eastAsia="Times New Roman" w:hAnsi="Arial" w:cs="Arial"/>
          <w:bCs/>
          <w:sz w:val="24"/>
          <w:szCs w:val="24"/>
        </w:rPr>
        <w:t>and 13</w:t>
      </w:r>
      <w:r w:rsidR="00A0634C">
        <w:rPr>
          <w:rFonts w:ascii="Arial" w:eastAsia="Times New Roman" w:hAnsi="Arial" w:cs="Arial"/>
          <w:bCs/>
          <w:sz w:val="24"/>
          <w:szCs w:val="24"/>
        </w:rPr>
        <w:t xml:space="preserve"> (2.7%</w:t>
      </w:r>
      <w:proofErr w:type="gramStart"/>
      <w:r w:rsidR="00A0634C">
        <w:rPr>
          <w:rFonts w:ascii="Arial" w:eastAsia="Times New Roman" w:hAnsi="Arial" w:cs="Arial"/>
          <w:bCs/>
          <w:sz w:val="24"/>
          <w:szCs w:val="24"/>
        </w:rPr>
        <w:t>)</w:t>
      </w:r>
      <w:r w:rsidRPr="00F87338">
        <w:rPr>
          <w:rFonts w:ascii="Arial" w:eastAsia="Times New Roman" w:hAnsi="Arial" w:cs="Arial"/>
          <w:bCs/>
          <w:sz w:val="24"/>
          <w:szCs w:val="24"/>
        </w:rPr>
        <w:t>.</w:t>
      </w:r>
      <w:r w:rsidR="004C2DBA">
        <w:rPr>
          <w:rFonts w:ascii="Arial" w:eastAsia="Times New Roman" w:hAnsi="Arial" w:cs="Arial"/>
          <w:bCs/>
          <w:sz w:val="24"/>
          <w:szCs w:val="24"/>
        </w:rPr>
        <w:t>This</w:t>
      </w:r>
      <w:proofErr w:type="gramEnd"/>
      <w:r w:rsidR="00A0634C">
        <w:rPr>
          <w:rFonts w:ascii="Arial" w:eastAsia="Times New Roman" w:hAnsi="Arial" w:cs="Arial"/>
          <w:bCs/>
          <w:sz w:val="24"/>
          <w:szCs w:val="24"/>
        </w:rPr>
        <w:t xml:space="preserve"> indicates that a</w:t>
      </w:r>
      <w:r w:rsidRPr="00F87338">
        <w:rPr>
          <w:rFonts w:ascii="Arial" w:eastAsia="Times New Roman" w:hAnsi="Arial" w:cs="Arial"/>
          <w:bCs/>
          <w:sz w:val="24"/>
          <w:szCs w:val="24"/>
        </w:rPr>
        <w:t xml:space="preserve">t age 13 </w:t>
      </w:r>
      <w:r w:rsidR="00A0634C">
        <w:rPr>
          <w:rFonts w:ascii="Arial" w:eastAsia="Times New Roman" w:hAnsi="Arial" w:cs="Arial"/>
          <w:bCs/>
          <w:sz w:val="24"/>
          <w:szCs w:val="24"/>
        </w:rPr>
        <w:t xml:space="preserve">most </w:t>
      </w:r>
      <w:r w:rsidRPr="00F87338">
        <w:rPr>
          <w:rFonts w:ascii="Arial" w:eastAsia="Times New Roman" w:hAnsi="Arial" w:cs="Arial"/>
          <w:bCs/>
          <w:sz w:val="24"/>
          <w:szCs w:val="24"/>
        </w:rPr>
        <w:t xml:space="preserve">children are likely to still </w:t>
      </w:r>
      <w:r w:rsidR="00A0634C">
        <w:rPr>
          <w:rFonts w:ascii="Arial" w:eastAsia="Times New Roman" w:hAnsi="Arial" w:cs="Arial"/>
          <w:bCs/>
          <w:sz w:val="24"/>
          <w:szCs w:val="24"/>
        </w:rPr>
        <w:t>be at</w:t>
      </w:r>
      <w:r w:rsidRPr="00F87338">
        <w:rPr>
          <w:rFonts w:ascii="Arial" w:eastAsia="Times New Roman" w:hAnsi="Arial" w:cs="Arial"/>
          <w:bCs/>
          <w:sz w:val="24"/>
          <w:szCs w:val="24"/>
        </w:rPr>
        <w:t xml:space="preserve"> primary school. The secondary school NER for boys was 45.9% </w:t>
      </w:r>
      <w:r w:rsidR="004C2DBA">
        <w:rPr>
          <w:rFonts w:ascii="Arial" w:eastAsia="Times New Roman" w:hAnsi="Arial" w:cs="Arial"/>
          <w:bCs/>
          <w:sz w:val="24"/>
          <w:szCs w:val="24"/>
        </w:rPr>
        <w:t>compared to</w:t>
      </w:r>
      <w:r w:rsidR="004C2DBA" w:rsidRPr="00F87338">
        <w:rPr>
          <w:rFonts w:ascii="Arial" w:eastAsia="Times New Roman" w:hAnsi="Arial" w:cs="Arial"/>
          <w:bCs/>
          <w:sz w:val="24"/>
          <w:szCs w:val="24"/>
        </w:rPr>
        <w:t xml:space="preserve"> </w:t>
      </w:r>
      <w:r w:rsidR="004C2DBA" w:rsidRPr="004C2DBA">
        <w:rPr>
          <w:rFonts w:ascii="Arial" w:eastAsia="Times New Roman" w:hAnsi="Arial" w:cs="Arial"/>
          <w:bCs/>
          <w:sz w:val="24"/>
          <w:szCs w:val="24"/>
        </w:rPr>
        <w:t>56.9%</w:t>
      </w:r>
      <w:r w:rsidR="004C2DBA">
        <w:rPr>
          <w:rFonts w:ascii="Arial" w:eastAsia="Times New Roman" w:hAnsi="Arial" w:cs="Arial"/>
          <w:bCs/>
          <w:sz w:val="24"/>
          <w:szCs w:val="24"/>
        </w:rPr>
        <w:t xml:space="preserve"> </w:t>
      </w:r>
      <w:r w:rsidRPr="004C2DBA">
        <w:rPr>
          <w:rFonts w:ascii="Arial" w:eastAsia="Times New Roman" w:hAnsi="Arial" w:cs="Arial"/>
          <w:bCs/>
          <w:sz w:val="24"/>
          <w:szCs w:val="24"/>
        </w:rPr>
        <w:t>for girls in 2017.</w:t>
      </w:r>
      <w:r w:rsidR="00A06AC1">
        <w:rPr>
          <w:rFonts w:ascii="Arial" w:eastAsia="Times New Roman" w:hAnsi="Arial" w:cs="Arial"/>
          <w:bCs/>
          <w:sz w:val="24"/>
          <w:szCs w:val="24"/>
        </w:rPr>
        <w:t xml:space="preserve"> </w:t>
      </w:r>
    </w:p>
    <w:p w:rsidR="00A06AC1" w:rsidRDefault="00A06AC1" w:rsidP="00E32265">
      <w:pPr>
        <w:spacing w:after="0" w:line="360" w:lineRule="auto"/>
        <w:jc w:val="both"/>
        <w:rPr>
          <w:rFonts w:ascii="Arial" w:hAnsi="Arial" w:cs="Arial"/>
          <w:sz w:val="24"/>
          <w:szCs w:val="24"/>
          <w:shd w:val="clear" w:color="auto" w:fill="FFFFFF"/>
        </w:rPr>
      </w:pPr>
      <w:proofErr w:type="gramStart"/>
      <w:r w:rsidRPr="00E32265">
        <w:rPr>
          <w:rFonts w:ascii="Arial" w:eastAsia="Times New Roman" w:hAnsi="Arial" w:cs="Arial"/>
          <w:bCs/>
          <w:sz w:val="24"/>
          <w:szCs w:val="24"/>
          <w:lang w:val="en-GB"/>
        </w:rPr>
        <w:lastRenderedPageBreak/>
        <w:t>In an effort to</w:t>
      </w:r>
      <w:proofErr w:type="gramEnd"/>
      <w:r w:rsidRPr="00E32265">
        <w:rPr>
          <w:rFonts w:ascii="Arial" w:eastAsia="Times New Roman" w:hAnsi="Arial" w:cs="Arial"/>
          <w:bCs/>
          <w:sz w:val="24"/>
          <w:szCs w:val="24"/>
          <w:lang w:val="en-GB"/>
        </w:rPr>
        <w:t xml:space="preserve"> ensure equal access for all women and men to affordable and quality technical, vocational and tertiary education, including university, the </w:t>
      </w:r>
      <w:r w:rsidRPr="00E32265">
        <w:rPr>
          <w:rFonts w:ascii="Arial" w:eastAsia="Times New Roman" w:hAnsi="Arial" w:cs="Arial"/>
          <w:bCs/>
          <w:sz w:val="24"/>
          <w:szCs w:val="24"/>
        </w:rPr>
        <w:t>Gross Enrollment Rate (GER) at te</w:t>
      </w:r>
      <w:r>
        <w:rPr>
          <w:rFonts w:ascii="Arial" w:eastAsia="Times New Roman" w:hAnsi="Arial" w:cs="Arial"/>
          <w:bCs/>
          <w:sz w:val="24"/>
          <w:szCs w:val="24"/>
        </w:rPr>
        <w:t xml:space="preserve">rtiary level was 18.2 % in 2017. </w:t>
      </w:r>
      <w:r w:rsidR="00DE0A28">
        <w:rPr>
          <w:rFonts w:ascii="Arial" w:eastAsia="Times New Roman" w:hAnsi="Arial" w:cs="Arial"/>
          <w:bCs/>
          <w:sz w:val="24"/>
          <w:szCs w:val="24"/>
        </w:rPr>
        <w:t>The African Union Continental Education Strategy for Africa proposes ways in which African countries can</w:t>
      </w:r>
      <w:r w:rsidR="003C6F3F">
        <w:rPr>
          <w:rFonts w:ascii="Arial" w:eastAsia="Times New Roman" w:hAnsi="Arial" w:cs="Arial"/>
          <w:bCs/>
          <w:sz w:val="24"/>
          <w:szCs w:val="24"/>
        </w:rPr>
        <w:t xml:space="preserve"> </w:t>
      </w:r>
      <w:proofErr w:type="spellStart"/>
      <w:r w:rsidR="003C6F3F">
        <w:rPr>
          <w:rFonts w:ascii="Arial" w:eastAsia="Times New Roman" w:hAnsi="Arial" w:cs="Arial"/>
          <w:bCs/>
          <w:sz w:val="24"/>
          <w:szCs w:val="24"/>
        </w:rPr>
        <w:t>revolutionarise</w:t>
      </w:r>
      <w:proofErr w:type="spellEnd"/>
      <w:r w:rsidR="003C6F3F">
        <w:rPr>
          <w:rFonts w:ascii="Arial" w:eastAsia="Times New Roman" w:hAnsi="Arial" w:cs="Arial"/>
          <w:bCs/>
          <w:sz w:val="24"/>
          <w:szCs w:val="24"/>
        </w:rPr>
        <w:t xml:space="preserve"> education systems</w:t>
      </w:r>
      <w:r w:rsidR="00DE0A28">
        <w:rPr>
          <w:rFonts w:ascii="Arial" w:eastAsia="Times New Roman" w:hAnsi="Arial" w:cs="Arial"/>
          <w:bCs/>
          <w:sz w:val="24"/>
          <w:szCs w:val="24"/>
        </w:rPr>
        <w:t xml:space="preserve"> to</w:t>
      </w:r>
      <w:r w:rsidR="003C6F3F">
        <w:rPr>
          <w:rFonts w:ascii="Arial" w:eastAsia="Times New Roman" w:hAnsi="Arial" w:cs="Arial"/>
          <w:bCs/>
          <w:sz w:val="24"/>
          <w:szCs w:val="24"/>
        </w:rPr>
        <w:t xml:space="preserve"> </w:t>
      </w:r>
      <w:r w:rsidR="003C6F3F" w:rsidRPr="007A199D">
        <w:rPr>
          <w:rFonts w:ascii="Arial" w:hAnsi="Arial" w:cs="Arial"/>
          <w:sz w:val="24"/>
          <w:szCs w:val="24"/>
          <w:shd w:val="clear" w:color="auto" w:fill="FFFFFF"/>
        </w:rPr>
        <w:t>give more visibility to actions undertaken on the continent’s education and training</w:t>
      </w:r>
      <w:r w:rsidR="003C6F3F">
        <w:rPr>
          <w:rFonts w:ascii="Arial" w:hAnsi="Arial" w:cs="Arial"/>
          <w:sz w:val="24"/>
          <w:szCs w:val="24"/>
          <w:shd w:val="clear" w:color="auto" w:fill="FFFFFF"/>
        </w:rPr>
        <w:t>,</w:t>
      </w:r>
      <w:r w:rsidR="003C6F3F" w:rsidRPr="007A199D">
        <w:rPr>
          <w:rFonts w:ascii="Arial" w:hAnsi="Arial" w:cs="Arial"/>
          <w:sz w:val="24"/>
          <w:szCs w:val="24"/>
          <w:shd w:val="clear" w:color="auto" w:fill="FFFFFF"/>
        </w:rPr>
        <w:t xml:space="preserve"> with more emphasis on</w:t>
      </w:r>
      <w:r w:rsidR="003C6F3F">
        <w:rPr>
          <w:rFonts w:ascii="Arial" w:hAnsi="Arial" w:cs="Arial"/>
          <w:sz w:val="24"/>
          <w:szCs w:val="24"/>
          <w:shd w:val="clear" w:color="auto" w:fill="FFFFFF"/>
        </w:rPr>
        <w:t xml:space="preserve"> science, technology and innovation</w:t>
      </w:r>
      <w:r w:rsidR="00360B04">
        <w:rPr>
          <w:rFonts w:ascii="Arial" w:hAnsi="Arial" w:cs="Arial"/>
          <w:sz w:val="24"/>
          <w:szCs w:val="24"/>
          <w:shd w:val="clear" w:color="auto" w:fill="FFFFFF"/>
        </w:rPr>
        <w:t xml:space="preserve"> (STI)</w:t>
      </w:r>
      <w:r w:rsidR="003C6F3F">
        <w:rPr>
          <w:rFonts w:ascii="Arial" w:hAnsi="Arial" w:cs="Arial"/>
          <w:sz w:val="24"/>
          <w:szCs w:val="24"/>
          <w:shd w:val="clear" w:color="auto" w:fill="FFFFFF"/>
        </w:rPr>
        <w:t xml:space="preserve"> as well as</w:t>
      </w:r>
      <w:r w:rsidR="003C6F3F" w:rsidRPr="007A199D">
        <w:rPr>
          <w:rFonts w:ascii="Arial" w:hAnsi="Arial" w:cs="Arial"/>
          <w:sz w:val="24"/>
          <w:szCs w:val="24"/>
          <w:shd w:val="clear" w:color="auto" w:fill="FFFFFF"/>
        </w:rPr>
        <w:t xml:space="preserve"> transforming TVET, education of the girl child</w:t>
      </w:r>
      <w:r w:rsidR="003C6F3F">
        <w:rPr>
          <w:rFonts w:ascii="Arial" w:hAnsi="Arial" w:cs="Arial"/>
          <w:sz w:val="24"/>
          <w:szCs w:val="24"/>
          <w:shd w:val="clear" w:color="auto" w:fill="FFFFFF"/>
        </w:rPr>
        <w:t>, school feeding, school health as well as</w:t>
      </w:r>
      <w:r w:rsidR="003C6F3F" w:rsidRPr="007A199D">
        <w:rPr>
          <w:rFonts w:ascii="Arial" w:hAnsi="Arial" w:cs="Arial"/>
          <w:sz w:val="24"/>
          <w:szCs w:val="24"/>
          <w:shd w:val="clear" w:color="auto" w:fill="FFFFFF"/>
        </w:rPr>
        <w:t xml:space="preserve"> school administration.</w:t>
      </w:r>
      <w:r w:rsidR="003C6F3F">
        <w:rPr>
          <w:rFonts w:ascii="Arial" w:hAnsi="Arial" w:cs="Arial"/>
          <w:sz w:val="24"/>
          <w:szCs w:val="24"/>
          <w:shd w:val="clear" w:color="auto" w:fill="FFFFFF"/>
        </w:rPr>
        <w:t xml:space="preserve"> </w:t>
      </w:r>
    </w:p>
    <w:p w:rsidR="00A06AC1" w:rsidRDefault="00A06AC1" w:rsidP="00E32265">
      <w:pPr>
        <w:spacing w:after="0" w:line="360" w:lineRule="auto"/>
        <w:jc w:val="both"/>
        <w:rPr>
          <w:rFonts w:ascii="Arial" w:hAnsi="Arial" w:cs="Arial"/>
          <w:sz w:val="24"/>
          <w:szCs w:val="24"/>
          <w:shd w:val="clear" w:color="auto" w:fill="FFFFFF"/>
        </w:rPr>
      </w:pPr>
    </w:p>
    <w:p w:rsidR="00A06AC1" w:rsidRDefault="00A06AC1" w:rsidP="007A199D">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In Botswana this function lies with the Ministry of Tertiary Education and Research. One of the key initiatives they embarked upon is creating the hype behind the importance of STI subjects to encourage the girl-child to adopt these. </w:t>
      </w:r>
    </w:p>
    <w:p w:rsidR="00A06AC1" w:rsidRPr="004C2DBA" w:rsidRDefault="00A06AC1" w:rsidP="007A199D">
      <w:pPr>
        <w:spacing w:after="0" w:line="360" w:lineRule="auto"/>
        <w:jc w:val="both"/>
        <w:rPr>
          <w:rFonts w:ascii="Arial" w:eastAsia="Times New Roman" w:hAnsi="Arial" w:cs="Arial"/>
          <w:bCs/>
          <w:sz w:val="24"/>
          <w:szCs w:val="24"/>
        </w:rPr>
      </w:pPr>
    </w:p>
    <w:p w:rsidR="00E32265" w:rsidRPr="00F87338" w:rsidRDefault="00A95F03" w:rsidP="00A06AC1">
      <w:pPr>
        <w:spacing w:after="0" w:line="360" w:lineRule="auto"/>
        <w:jc w:val="both"/>
        <w:rPr>
          <w:rFonts w:ascii="Arial" w:eastAsia="Calibri" w:hAnsi="Arial" w:cs="Arial"/>
          <w:sz w:val="24"/>
          <w:szCs w:val="24"/>
          <w:lang w:bidi="en-US"/>
        </w:rPr>
      </w:pPr>
      <w:r>
        <w:rPr>
          <w:rFonts w:ascii="Arial" w:eastAsia="Calibri" w:hAnsi="Arial" w:cs="Arial"/>
          <w:sz w:val="24"/>
          <w:szCs w:val="24"/>
        </w:rPr>
        <w:t>F</w:t>
      </w:r>
      <w:r w:rsidRPr="00A0634C">
        <w:rPr>
          <w:rFonts w:ascii="Arial" w:eastAsia="Calibri" w:hAnsi="Arial" w:cs="Arial"/>
          <w:sz w:val="24"/>
          <w:szCs w:val="24"/>
        </w:rPr>
        <w:t xml:space="preserve">or pre-primary </w:t>
      </w:r>
      <w:proofErr w:type="spellStart"/>
      <w:proofErr w:type="gramStart"/>
      <w:r w:rsidRPr="00A0634C">
        <w:rPr>
          <w:rFonts w:ascii="Arial" w:eastAsia="Calibri" w:hAnsi="Arial" w:cs="Arial"/>
          <w:sz w:val="24"/>
          <w:szCs w:val="24"/>
        </w:rPr>
        <w:t>education,</w:t>
      </w:r>
      <w:r>
        <w:rPr>
          <w:rFonts w:ascii="Arial" w:eastAsia="Calibri" w:hAnsi="Arial" w:cs="Arial"/>
          <w:sz w:val="24"/>
          <w:szCs w:val="24"/>
        </w:rPr>
        <w:t>t</w:t>
      </w:r>
      <w:r w:rsidR="00A06AC1">
        <w:rPr>
          <w:rFonts w:ascii="Arial" w:eastAsia="Times New Roman" w:hAnsi="Arial" w:cs="Arial"/>
          <w:bCs/>
          <w:sz w:val="24"/>
          <w:szCs w:val="24"/>
        </w:rPr>
        <w:t>he</w:t>
      </w:r>
      <w:proofErr w:type="spellEnd"/>
      <w:proofErr w:type="gramEnd"/>
      <w:r w:rsidR="00A06AC1">
        <w:rPr>
          <w:rFonts w:ascii="Arial" w:eastAsia="Times New Roman" w:hAnsi="Arial" w:cs="Arial"/>
          <w:bCs/>
          <w:sz w:val="24"/>
          <w:szCs w:val="24"/>
        </w:rPr>
        <w:t xml:space="preserve"> </w:t>
      </w:r>
      <w:r w:rsidR="00E32265" w:rsidRPr="00F87338">
        <w:rPr>
          <w:rFonts w:ascii="Arial" w:eastAsia="Calibri" w:hAnsi="Arial" w:cs="Arial"/>
          <w:sz w:val="24"/>
          <w:szCs w:val="24"/>
        </w:rPr>
        <w:t>cou</w:t>
      </w:r>
      <w:r w:rsidR="00E32265" w:rsidRPr="00A06AC1">
        <w:rPr>
          <w:rFonts w:ascii="Arial" w:eastAsia="Calibri" w:hAnsi="Arial" w:cs="Arial"/>
          <w:sz w:val="24"/>
          <w:szCs w:val="24"/>
        </w:rPr>
        <w:t xml:space="preserve">ntry is lagging behind in ensuring that </w:t>
      </w:r>
      <w:r w:rsidR="00E32265" w:rsidRPr="00A0634C">
        <w:rPr>
          <w:rFonts w:ascii="Arial" w:eastAsia="Calibri" w:hAnsi="Arial" w:cs="Arial"/>
          <w:sz w:val="24"/>
          <w:szCs w:val="24"/>
        </w:rPr>
        <w:t>children under 5 years of age are</w:t>
      </w:r>
      <w:r w:rsidR="00A0634C">
        <w:rPr>
          <w:rFonts w:ascii="Arial" w:eastAsia="Calibri" w:hAnsi="Arial" w:cs="Arial"/>
          <w:sz w:val="24"/>
          <w:szCs w:val="24"/>
        </w:rPr>
        <w:t xml:space="preserve"> at school.</w:t>
      </w:r>
      <w:r w:rsidR="00E32265" w:rsidRPr="00A0634C">
        <w:rPr>
          <w:rFonts w:ascii="Arial" w:eastAsia="Calibri" w:hAnsi="Arial" w:cs="Arial"/>
          <w:sz w:val="24"/>
          <w:szCs w:val="24"/>
        </w:rPr>
        <w:t xml:space="preserve"> </w:t>
      </w:r>
      <w:r w:rsidR="00E32265" w:rsidRPr="00F87338">
        <w:rPr>
          <w:rFonts w:ascii="Arial" w:eastAsia="Calibri" w:hAnsi="Arial" w:cs="Arial"/>
          <w:sz w:val="24"/>
          <w:szCs w:val="24"/>
        </w:rPr>
        <w:t xml:space="preserve">The Botswana Demographic Survey revealed that whilst only </w:t>
      </w:r>
      <w:r w:rsidR="00E32265" w:rsidRPr="00F87338">
        <w:rPr>
          <w:rFonts w:ascii="Arial" w:eastAsia="Calibri" w:hAnsi="Arial" w:cs="Arial"/>
          <w:sz w:val="24"/>
          <w:szCs w:val="24"/>
          <w:lang w:bidi="en-US"/>
        </w:rPr>
        <w:t xml:space="preserve">24.1% of </w:t>
      </w:r>
      <w:proofErr w:type="gramStart"/>
      <w:r w:rsidR="00E32265" w:rsidRPr="00F87338">
        <w:rPr>
          <w:rFonts w:ascii="Arial" w:eastAsia="Calibri" w:hAnsi="Arial" w:cs="Arial"/>
          <w:sz w:val="24"/>
          <w:szCs w:val="24"/>
          <w:lang w:bidi="en-US"/>
        </w:rPr>
        <w:t>3-5 year</w:t>
      </w:r>
      <w:proofErr w:type="gramEnd"/>
      <w:r w:rsidR="00E32265" w:rsidRPr="00F87338">
        <w:rPr>
          <w:rFonts w:ascii="Arial" w:eastAsia="Calibri" w:hAnsi="Arial" w:cs="Arial"/>
          <w:sz w:val="24"/>
          <w:szCs w:val="24"/>
          <w:lang w:bidi="en-US"/>
        </w:rPr>
        <w:t xml:space="preserve"> age group attend</w:t>
      </w:r>
      <w:r w:rsidR="00C73E1E">
        <w:rPr>
          <w:rFonts w:ascii="Arial" w:eastAsia="Calibri" w:hAnsi="Arial" w:cs="Arial"/>
          <w:sz w:val="24"/>
          <w:szCs w:val="24"/>
          <w:lang w:bidi="en-US"/>
        </w:rPr>
        <w:t xml:space="preserve">ed </w:t>
      </w:r>
      <w:r w:rsidR="00E32265" w:rsidRPr="00F87338">
        <w:rPr>
          <w:rFonts w:ascii="Arial" w:eastAsia="Calibri" w:hAnsi="Arial" w:cs="Arial"/>
          <w:sz w:val="24"/>
          <w:szCs w:val="24"/>
          <w:lang w:bidi="en-US"/>
        </w:rPr>
        <w:t>school</w:t>
      </w:r>
      <w:r w:rsidR="00E32265" w:rsidRPr="00F87338">
        <w:rPr>
          <w:rFonts w:ascii="Arial" w:eastAsia="Calibri" w:hAnsi="Arial" w:cs="Arial"/>
          <w:sz w:val="24"/>
          <w:szCs w:val="24"/>
        </w:rPr>
        <w:t xml:space="preserve"> in 2017, three quarters (74.1%) of children in the same age group had never attended early childhood education. However, </w:t>
      </w:r>
      <w:r w:rsidR="00C73E1E">
        <w:rPr>
          <w:rFonts w:ascii="Arial" w:eastAsia="Calibri" w:hAnsi="Arial" w:cs="Arial"/>
          <w:sz w:val="24"/>
          <w:szCs w:val="24"/>
        </w:rPr>
        <w:t>this was an improvement from</w:t>
      </w:r>
      <w:r w:rsidR="00E32265" w:rsidRPr="00F87338">
        <w:rPr>
          <w:rFonts w:ascii="Arial" w:eastAsia="Calibri" w:hAnsi="Arial" w:cs="Arial"/>
          <w:sz w:val="24"/>
          <w:szCs w:val="24"/>
        </w:rPr>
        <w:t xml:space="preserve"> 18% of the </w:t>
      </w:r>
      <w:proofErr w:type="gramStart"/>
      <w:r w:rsidR="00E32265" w:rsidRPr="00F87338">
        <w:rPr>
          <w:rFonts w:ascii="Arial" w:eastAsia="Calibri" w:hAnsi="Arial" w:cs="Arial"/>
          <w:sz w:val="24"/>
          <w:szCs w:val="24"/>
        </w:rPr>
        <w:t>4-6 year</w:t>
      </w:r>
      <w:proofErr w:type="gramEnd"/>
      <w:r w:rsidR="00E32265" w:rsidRPr="00F87338">
        <w:rPr>
          <w:rFonts w:ascii="Arial" w:eastAsia="Calibri" w:hAnsi="Arial" w:cs="Arial"/>
          <w:sz w:val="24"/>
          <w:szCs w:val="24"/>
        </w:rPr>
        <w:t xml:space="preserve"> </w:t>
      </w:r>
      <w:proofErr w:type="spellStart"/>
      <w:r w:rsidR="00E32265" w:rsidRPr="00F87338">
        <w:rPr>
          <w:rFonts w:ascii="Arial" w:eastAsia="Calibri" w:hAnsi="Arial" w:cs="Arial"/>
          <w:sz w:val="24"/>
          <w:szCs w:val="24"/>
        </w:rPr>
        <w:t>olds</w:t>
      </w:r>
      <w:proofErr w:type="spellEnd"/>
      <w:r w:rsidR="00E32265" w:rsidRPr="00F87338">
        <w:rPr>
          <w:rFonts w:ascii="Arial" w:eastAsia="Calibri" w:hAnsi="Arial" w:cs="Arial"/>
          <w:sz w:val="24"/>
          <w:szCs w:val="24"/>
        </w:rPr>
        <w:t xml:space="preserve"> who acce</w:t>
      </w:r>
      <w:r w:rsidR="00E32265" w:rsidRPr="00C73E1E">
        <w:rPr>
          <w:rFonts w:ascii="Arial" w:eastAsia="Calibri" w:hAnsi="Arial" w:cs="Arial"/>
          <w:sz w:val="24"/>
          <w:szCs w:val="24"/>
        </w:rPr>
        <w:t>ss</w:t>
      </w:r>
      <w:r w:rsidR="00C73E1E">
        <w:rPr>
          <w:rFonts w:ascii="Arial" w:eastAsia="Calibri" w:hAnsi="Arial" w:cs="Arial"/>
          <w:sz w:val="24"/>
          <w:szCs w:val="24"/>
        </w:rPr>
        <w:t>ed</w:t>
      </w:r>
      <w:r w:rsidR="00E32265" w:rsidRPr="00F87338">
        <w:rPr>
          <w:rFonts w:ascii="Arial" w:eastAsia="Calibri" w:hAnsi="Arial" w:cs="Arial"/>
          <w:sz w:val="24"/>
          <w:szCs w:val="24"/>
        </w:rPr>
        <w:t xml:space="preserve"> pre-</w:t>
      </w:r>
      <w:r w:rsidR="00C73E1E">
        <w:rPr>
          <w:rFonts w:ascii="Arial" w:eastAsia="Calibri" w:hAnsi="Arial" w:cs="Arial"/>
          <w:sz w:val="24"/>
          <w:szCs w:val="24"/>
        </w:rPr>
        <w:t xml:space="preserve">primary </w:t>
      </w:r>
      <w:r w:rsidR="00E32265" w:rsidRPr="00F87338">
        <w:rPr>
          <w:rFonts w:ascii="Arial" w:eastAsia="Calibri" w:hAnsi="Arial" w:cs="Arial"/>
          <w:sz w:val="24"/>
          <w:szCs w:val="24"/>
        </w:rPr>
        <w:t xml:space="preserve">education in 2015. </w:t>
      </w:r>
      <w:r w:rsidR="00E32265" w:rsidRPr="00F87338">
        <w:rPr>
          <w:rFonts w:ascii="Arial" w:eastAsia="Calibri" w:hAnsi="Arial" w:cs="Arial"/>
          <w:sz w:val="24"/>
          <w:szCs w:val="24"/>
          <w:lang w:bidi="en-US"/>
        </w:rPr>
        <w:t xml:space="preserve">The BDS report further indicates </w:t>
      </w:r>
      <w:r w:rsidR="00C73E1E">
        <w:rPr>
          <w:rFonts w:ascii="Arial" w:eastAsia="Calibri" w:hAnsi="Arial" w:cs="Arial"/>
          <w:sz w:val="24"/>
          <w:szCs w:val="24"/>
          <w:lang w:bidi="en-US"/>
        </w:rPr>
        <w:t>that</w:t>
      </w:r>
      <w:r w:rsidR="00E32265" w:rsidRPr="00F87338">
        <w:rPr>
          <w:rFonts w:ascii="Arial" w:eastAsia="Calibri" w:hAnsi="Arial" w:cs="Arial"/>
          <w:sz w:val="24"/>
          <w:szCs w:val="24"/>
          <w:lang w:bidi="en-US"/>
        </w:rPr>
        <w:t xml:space="preserve"> </w:t>
      </w:r>
      <w:r w:rsidR="00C73E1E">
        <w:rPr>
          <w:rFonts w:ascii="Arial" w:eastAsia="Calibri" w:hAnsi="Arial" w:cs="Arial"/>
          <w:sz w:val="24"/>
          <w:szCs w:val="24"/>
          <w:lang w:bidi="en-US"/>
        </w:rPr>
        <w:t xml:space="preserve">more of these </w:t>
      </w:r>
      <w:r w:rsidR="00E32265" w:rsidRPr="00F87338">
        <w:rPr>
          <w:rFonts w:ascii="Arial" w:eastAsia="Calibri" w:hAnsi="Arial" w:cs="Arial"/>
          <w:sz w:val="24"/>
          <w:szCs w:val="24"/>
          <w:lang w:bidi="en-US"/>
        </w:rPr>
        <w:t>children</w:t>
      </w:r>
      <w:r w:rsidR="00C73E1E">
        <w:rPr>
          <w:rFonts w:ascii="Arial" w:eastAsia="Calibri" w:hAnsi="Arial" w:cs="Arial"/>
          <w:sz w:val="24"/>
          <w:szCs w:val="24"/>
          <w:lang w:bidi="en-US"/>
        </w:rPr>
        <w:t xml:space="preserve"> </w:t>
      </w:r>
      <w:r w:rsidR="00C73E1E" w:rsidRPr="00C73E1E">
        <w:rPr>
          <w:rFonts w:ascii="Arial" w:eastAsia="Calibri" w:hAnsi="Arial" w:cs="Arial"/>
          <w:sz w:val="24"/>
          <w:szCs w:val="24"/>
          <w:lang w:bidi="en-US"/>
        </w:rPr>
        <w:t xml:space="preserve">(72.9%) </w:t>
      </w:r>
      <w:r w:rsidR="00C73E1E">
        <w:rPr>
          <w:rFonts w:ascii="Arial" w:eastAsia="Calibri" w:hAnsi="Arial" w:cs="Arial"/>
          <w:sz w:val="24"/>
          <w:szCs w:val="24"/>
          <w:lang w:bidi="en-US"/>
        </w:rPr>
        <w:t xml:space="preserve">came </w:t>
      </w:r>
      <w:r w:rsidR="00E32265" w:rsidRPr="00C73E1E">
        <w:rPr>
          <w:rFonts w:ascii="Arial" w:eastAsia="Calibri" w:hAnsi="Arial" w:cs="Arial"/>
          <w:sz w:val="24"/>
          <w:szCs w:val="24"/>
          <w:lang w:bidi="en-US"/>
        </w:rPr>
        <w:t>from cities, towns and urban villages compared to their rural counterpar</w:t>
      </w:r>
      <w:r w:rsidR="00E32265" w:rsidRPr="00F87338">
        <w:rPr>
          <w:rFonts w:ascii="Arial" w:eastAsia="Calibri" w:hAnsi="Arial" w:cs="Arial"/>
          <w:sz w:val="24"/>
          <w:szCs w:val="24"/>
          <w:lang w:bidi="en-US"/>
        </w:rPr>
        <w:t>ts (9.7%)</w:t>
      </w:r>
      <w:r w:rsidR="00C73E1E">
        <w:rPr>
          <w:rFonts w:ascii="Arial" w:eastAsia="Calibri" w:hAnsi="Arial" w:cs="Arial"/>
          <w:sz w:val="24"/>
          <w:szCs w:val="24"/>
          <w:lang w:bidi="en-US"/>
        </w:rPr>
        <w:t xml:space="preserve">, </w:t>
      </w:r>
      <w:r w:rsidR="00E32265" w:rsidRPr="00F87338">
        <w:rPr>
          <w:rFonts w:ascii="Arial" w:eastAsia="Calibri" w:hAnsi="Arial" w:cs="Arial"/>
          <w:sz w:val="24"/>
          <w:szCs w:val="24"/>
          <w:lang w:bidi="en-US"/>
        </w:rPr>
        <w:t>as shown in Table 4.1 below</w:t>
      </w:r>
      <w:r w:rsidR="00E32265" w:rsidRPr="00F87338">
        <w:rPr>
          <w:rFonts w:ascii="Arial" w:eastAsia="Calibri" w:hAnsi="Arial" w:cs="Arial"/>
          <w:sz w:val="24"/>
          <w:szCs w:val="24"/>
          <w:vertAlign w:val="superscript"/>
          <w:lang w:bidi="en-US"/>
        </w:rPr>
        <w:footnoteReference w:id="1"/>
      </w:r>
      <w:r w:rsidR="00E32265" w:rsidRPr="00F87338">
        <w:rPr>
          <w:rFonts w:ascii="Arial" w:eastAsia="Calibri" w:hAnsi="Arial" w:cs="Arial"/>
          <w:sz w:val="24"/>
          <w:szCs w:val="24"/>
          <w:lang w:bidi="en-US"/>
        </w:rPr>
        <w:t xml:space="preserve">.  </w:t>
      </w:r>
    </w:p>
    <w:p w:rsidR="00E32265" w:rsidRPr="00E32265" w:rsidRDefault="00E32265" w:rsidP="00E32265">
      <w:pPr>
        <w:spacing w:after="0" w:line="360" w:lineRule="auto"/>
        <w:ind w:left="1440" w:hanging="1440"/>
        <w:jc w:val="both"/>
        <w:rPr>
          <w:rFonts w:ascii="Arial" w:eastAsia="Calibri" w:hAnsi="Arial" w:cs="Arial"/>
          <w:b/>
          <w:sz w:val="24"/>
          <w:szCs w:val="24"/>
        </w:rPr>
      </w:pPr>
    </w:p>
    <w:p w:rsidR="00E32265" w:rsidRPr="00E32265" w:rsidRDefault="00E32265" w:rsidP="00E32265">
      <w:pPr>
        <w:spacing w:after="0" w:line="240" w:lineRule="auto"/>
        <w:ind w:left="1440" w:hanging="1440"/>
        <w:jc w:val="both"/>
        <w:rPr>
          <w:rFonts w:ascii="Times New Roman" w:eastAsia="Calibri" w:hAnsi="Times New Roman" w:cs="Times New Roman"/>
          <w:sz w:val="24"/>
          <w:szCs w:val="24"/>
        </w:rPr>
      </w:pPr>
      <w:r w:rsidRPr="00E32265">
        <w:rPr>
          <w:rFonts w:ascii="Times New Roman" w:eastAsia="Calibri" w:hAnsi="Times New Roman" w:cs="Times New Roman"/>
          <w:b/>
          <w:sz w:val="24"/>
          <w:szCs w:val="24"/>
        </w:rPr>
        <w:t>Table 4.1:</w:t>
      </w:r>
      <w:r w:rsidRPr="00E32265">
        <w:rPr>
          <w:rFonts w:ascii="Times New Roman" w:eastAsia="Calibri" w:hAnsi="Times New Roman" w:cs="Times New Roman"/>
          <w:sz w:val="24"/>
          <w:szCs w:val="24"/>
        </w:rPr>
        <w:tab/>
        <w:t>Percentage Distribution of Children aged 36-59 months attending organized ECD in 2017 (BDS 2017)</w:t>
      </w:r>
    </w:p>
    <w:p w:rsidR="00E32265" w:rsidRPr="00E32265" w:rsidRDefault="00E32265" w:rsidP="00E32265">
      <w:pPr>
        <w:spacing w:after="0" w:line="240" w:lineRule="auto"/>
        <w:jc w:val="both"/>
        <w:rPr>
          <w:rFonts w:ascii="Times New Roman" w:eastAsia="Calibri" w:hAnsi="Times New Roman" w:cs="Times New Roman"/>
          <w:sz w:val="24"/>
          <w:szCs w:val="24"/>
          <w:lang w:bidi="en-US"/>
        </w:rPr>
      </w:pPr>
    </w:p>
    <w:tbl>
      <w:tblPr>
        <w:tblStyle w:val="PlainTable411"/>
        <w:tblW w:w="0" w:type="auto"/>
        <w:tblLook w:val="04A0" w:firstRow="1" w:lastRow="0" w:firstColumn="1" w:lastColumn="0" w:noHBand="0" w:noVBand="1"/>
      </w:tblPr>
      <w:tblGrid>
        <w:gridCol w:w="2171"/>
        <w:gridCol w:w="1797"/>
        <w:gridCol w:w="1783"/>
        <w:gridCol w:w="1811"/>
        <w:gridCol w:w="1798"/>
      </w:tblGrid>
      <w:tr w:rsidR="00E32265" w:rsidRPr="00E32265" w:rsidTr="00BF2A8E">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2235" w:type="dxa"/>
          </w:tcPr>
          <w:p w:rsidR="00E32265" w:rsidRPr="00E32265" w:rsidRDefault="00E32265" w:rsidP="00E32265">
            <w:pPr>
              <w:jc w:val="center"/>
              <w:rPr>
                <w:rFonts w:ascii="Times New Roman" w:hAnsi="Times New Roman"/>
                <w:sz w:val="20"/>
                <w:szCs w:val="24"/>
              </w:rPr>
            </w:pPr>
            <w:r w:rsidRPr="00E32265">
              <w:rPr>
                <w:rFonts w:ascii="Times New Roman" w:hAnsi="Times New Roman"/>
                <w:sz w:val="20"/>
                <w:szCs w:val="24"/>
              </w:rPr>
              <w:t>Early Childhood Education</w:t>
            </w:r>
          </w:p>
        </w:tc>
        <w:tc>
          <w:tcPr>
            <w:tcW w:w="1870" w:type="dxa"/>
          </w:tcPr>
          <w:p w:rsidR="00E32265" w:rsidRPr="00E32265" w:rsidRDefault="00E32265" w:rsidP="00E3226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4"/>
              </w:rPr>
            </w:pPr>
            <w:r w:rsidRPr="00E32265">
              <w:rPr>
                <w:rFonts w:ascii="Times New Roman" w:hAnsi="Times New Roman"/>
                <w:sz w:val="20"/>
                <w:szCs w:val="24"/>
              </w:rPr>
              <w:t>Still at school</w:t>
            </w:r>
          </w:p>
        </w:tc>
        <w:tc>
          <w:tcPr>
            <w:tcW w:w="1870" w:type="dxa"/>
          </w:tcPr>
          <w:p w:rsidR="00E32265" w:rsidRPr="00E32265" w:rsidRDefault="00E32265" w:rsidP="00E3226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4"/>
              </w:rPr>
            </w:pPr>
            <w:r w:rsidRPr="00E32265">
              <w:rPr>
                <w:rFonts w:ascii="Times New Roman" w:hAnsi="Times New Roman"/>
                <w:sz w:val="20"/>
                <w:szCs w:val="24"/>
              </w:rPr>
              <w:t>Yes left</w:t>
            </w:r>
          </w:p>
        </w:tc>
        <w:tc>
          <w:tcPr>
            <w:tcW w:w="1870" w:type="dxa"/>
          </w:tcPr>
          <w:p w:rsidR="00E32265" w:rsidRPr="00E32265" w:rsidRDefault="00E32265" w:rsidP="00E3226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4"/>
              </w:rPr>
            </w:pPr>
            <w:r w:rsidRPr="00E32265">
              <w:rPr>
                <w:rFonts w:ascii="Times New Roman" w:hAnsi="Times New Roman"/>
                <w:sz w:val="20"/>
                <w:szCs w:val="24"/>
              </w:rPr>
              <w:t>Never attended</w:t>
            </w:r>
          </w:p>
        </w:tc>
        <w:tc>
          <w:tcPr>
            <w:tcW w:w="1870" w:type="dxa"/>
          </w:tcPr>
          <w:p w:rsidR="00E32265" w:rsidRPr="00E32265" w:rsidRDefault="00E32265" w:rsidP="00E3226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4"/>
              </w:rPr>
            </w:pPr>
            <w:r w:rsidRPr="00E32265">
              <w:rPr>
                <w:rFonts w:ascii="Times New Roman" w:hAnsi="Times New Roman"/>
                <w:sz w:val="20"/>
                <w:szCs w:val="24"/>
              </w:rPr>
              <w:t>Total</w:t>
            </w:r>
          </w:p>
          <w:p w:rsidR="00E32265" w:rsidRPr="00E32265" w:rsidRDefault="00E32265" w:rsidP="00E3226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4"/>
              </w:rPr>
            </w:pPr>
          </w:p>
        </w:tc>
      </w:tr>
      <w:tr w:rsidR="00E32265" w:rsidRPr="00E32265" w:rsidTr="00BF2A8E">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235" w:type="dxa"/>
          </w:tcPr>
          <w:p w:rsidR="00E32265" w:rsidRPr="00E32265" w:rsidRDefault="00E32265" w:rsidP="00E32265">
            <w:pPr>
              <w:jc w:val="center"/>
              <w:rPr>
                <w:rFonts w:ascii="Times New Roman" w:hAnsi="Times New Roman"/>
                <w:sz w:val="20"/>
                <w:szCs w:val="24"/>
              </w:rPr>
            </w:pPr>
            <w:r w:rsidRPr="00E32265">
              <w:rPr>
                <w:rFonts w:ascii="Times New Roman" w:hAnsi="Times New Roman"/>
                <w:sz w:val="20"/>
                <w:szCs w:val="24"/>
              </w:rPr>
              <w:t>Place of Residence</w:t>
            </w:r>
          </w:p>
        </w:tc>
        <w:tc>
          <w:tcPr>
            <w:tcW w:w="1870" w:type="dxa"/>
          </w:tcPr>
          <w:p w:rsidR="00E32265" w:rsidRPr="00E32265" w:rsidRDefault="00E32265" w:rsidP="00E322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4"/>
              </w:rPr>
            </w:pPr>
          </w:p>
        </w:tc>
        <w:tc>
          <w:tcPr>
            <w:tcW w:w="1870" w:type="dxa"/>
          </w:tcPr>
          <w:p w:rsidR="00E32265" w:rsidRPr="00E32265" w:rsidRDefault="00E32265" w:rsidP="00E322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4"/>
              </w:rPr>
            </w:pPr>
          </w:p>
        </w:tc>
        <w:tc>
          <w:tcPr>
            <w:tcW w:w="1870" w:type="dxa"/>
          </w:tcPr>
          <w:p w:rsidR="00E32265" w:rsidRPr="00E32265" w:rsidRDefault="00E32265" w:rsidP="00E322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4"/>
              </w:rPr>
            </w:pPr>
          </w:p>
        </w:tc>
        <w:tc>
          <w:tcPr>
            <w:tcW w:w="1870" w:type="dxa"/>
          </w:tcPr>
          <w:p w:rsidR="00E32265" w:rsidRPr="00E32265" w:rsidRDefault="00E32265" w:rsidP="00E322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4"/>
              </w:rPr>
            </w:pPr>
          </w:p>
        </w:tc>
      </w:tr>
      <w:tr w:rsidR="00E32265" w:rsidRPr="00E32265" w:rsidTr="00BF2A8E">
        <w:trPr>
          <w:trHeight w:val="315"/>
        </w:trPr>
        <w:tc>
          <w:tcPr>
            <w:cnfStyle w:val="001000000000" w:firstRow="0" w:lastRow="0" w:firstColumn="1" w:lastColumn="0" w:oddVBand="0" w:evenVBand="0" w:oddHBand="0" w:evenHBand="0" w:firstRowFirstColumn="0" w:firstRowLastColumn="0" w:lastRowFirstColumn="0" w:lastRowLastColumn="0"/>
            <w:tcW w:w="2235" w:type="dxa"/>
          </w:tcPr>
          <w:p w:rsidR="00E32265" w:rsidRPr="00E32265" w:rsidRDefault="00E32265" w:rsidP="00E32265">
            <w:pPr>
              <w:jc w:val="center"/>
              <w:rPr>
                <w:rFonts w:ascii="Times New Roman" w:hAnsi="Times New Roman"/>
                <w:sz w:val="20"/>
                <w:szCs w:val="24"/>
              </w:rPr>
            </w:pPr>
            <w:r w:rsidRPr="00E32265">
              <w:rPr>
                <w:rFonts w:ascii="Times New Roman" w:hAnsi="Times New Roman"/>
                <w:sz w:val="20"/>
                <w:szCs w:val="24"/>
              </w:rPr>
              <w:t>Cities/Town</w:t>
            </w:r>
          </w:p>
        </w:tc>
        <w:tc>
          <w:tcPr>
            <w:tcW w:w="1870" w:type="dxa"/>
          </w:tcPr>
          <w:p w:rsidR="00E32265" w:rsidRPr="00E32265" w:rsidRDefault="00E32265" w:rsidP="00E322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r w:rsidRPr="00E32265">
              <w:rPr>
                <w:rFonts w:ascii="Times New Roman" w:hAnsi="Times New Roman"/>
                <w:sz w:val="20"/>
                <w:szCs w:val="24"/>
              </w:rPr>
              <w:t>43.5</w:t>
            </w:r>
          </w:p>
        </w:tc>
        <w:tc>
          <w:tcPr>
            <w:tcW w:w="1870" w:type="dxa"/>
          </w:tcPr>
          <w:p w:rsidR="00E32265" w:rsidRPr="00E32265" w:rsidRDefault="00E32265" w:rsidP="00E322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r w:rsidRPr="00E32265">
              <w:rPr>
                <w:rFonts w:ascii="Times New Roman" w:hAnsi="Times New Roman"/>
                <w:sz w:val="20"/>
                <w:szCs w:val="24"/>
              </w:rPr>
              <w:t>3.4</w:t>
            </w:r>
          </w:p>
        </w:tc>
        <w:tc>
          <w:tcPr>
            <w:tcW w:w="1870" w:type="dxa"/>
          </w:tcPr>
          <w:p w:rsidR="00E32265" w:rsidRPr="00E32265" w:rsidRDefault="00E32265" w:rsidP="00E322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r w:rsidRPr="00E32265">
              <w:rPr>
                <w:rFonts w:ascii="Times New Roman" w:hAnsi="Times New Roman"/>
                <w:sz w:val="20"/>
                <w:szCs w:val="24"/>
              </w:rPr>
              <w:t>53.1</w:t>
            </w:r>
          </w:p>
        </w:tc>
        <w:tc>
          <w:tcPr>
            <w:tcW w:w="1870" w:type="dxa"/>
          </w:tcPr>
          <w:p w:rsidR="00E32265" w:rsidRPr="00E32265" w:rsidRDefault="00E32265" w:rsidP="00E322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r w:rsidRPr="00E32265">
              <w:rPr>
                <w:rFonts w:ascii="Times New Roman" w:hAnsi="Times New Roman"/>
                <w:sz w:val="20"/>
                <w:szCs w:val="24"/>
              </w:rPr>
              <w:t>18,392</w:t>
            </w:r>
          </w:p>
        </w:tc>
      </w:tr>
      <w:tr w:rsidR="00E32265" w:rsidRPr="00E32265" w:rsidTr="00BF2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E32265" w:rsidRPr="00E32265" w:rsidRDefault="00E32265" w:rsidP="00E32265">
            <w:pPr>
              <w:jc w:val="center"/>
              <w:rPr>
                <w:rFonts w:ascii="Times New Roman" w:hAnsi="Times New Roman"/>
                <w:sz w:val="20"/>
                <w:szCs w:val="24"/>
              </w:rPr>
            </w:pPr>
            <w:r w:rsidRPr="00E32265">
              <w:rPr>
                <w:rFonts w:ascii="Times New Roman" w:hAnsi="Times New Roman"/>
                <w:sz w:val="20"/>
                <w:szCs w:val="24"/>
              </w:rPr>
              <w:t>Urban Village</w:t>
            </w:r>
          </w:p>
        </w:tc>
        <w:tc>
          <w:tcPr>
            <w:tcW w:w="1870" w:type="dxa"/>
          </w:tcPr>
          <w:p w:rsidR="00E32265" w:rsidRPr="00E32265" w:rsidRDefault="00E32265" w:rsidP="00E322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4"/>
              </w:rPr>
            </w:pPr>
            <w:r w:rsidRPr="00E32265">
              <w:rPr>
                <w:rFonts w:ascii="Times New Roman" w:hAnsi="Times New Roman"/>
                <w:sz w:val="20"/>
                <w:szCs w:val="24"/>
              </w:rPr>
              <w:t>29.4</w:t>
            </w:r>
          </w:p>
        </w:tc>
        <w:tc>
          <w:tcPr>
            <w:tcW w:w="1870" w:type="dxa"/>
          </w:tcPr>
          <w:p w:rsidR="00E32265" w:rsidRPr="00E32265" w:rsidRDefault="00E32265" w:rsidP="00E322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4"/>
              </w:rPr>
            </w:pPr>
            <w:r w:rsidRPr="00E32265">
              <w:rPr>
                <w:rFonts w:ascii="Times New Roman" w:hAnsi="Times New Roman"/>
                <w:sz w:val="20"/>
                <w:szCs w:val="24"/>
              </w:rPr>
              <w:t>2.1</w:t>
            </w:r>
          </w:p>
        </w:tc>
        <w:tc>
          <w:tcPr>
            <w:tcW w:w="1870" w:type="dxa"/>
          </w:tcPr>
          <w:p w:rsidR="00E32265" w:rsidRPr="00E32265" w:rsidRDefault="00E32265" w:rsidP="00E322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4"/>
              </w:rPr>
            </w:pPr>
            <w:r w:rsidRPr="00E32265">
              <w:rPr>
                <w:rFonts w:ascii="Times New Roman" w:hAnsi="Times New Roman"/>
                <w:sz w:val="20"/>
                <w:szCs w:val="24"/>
              </w:rPr>
              <w:t>68.5</w:t>
            </w:r>
          </w:p>
        </w:tc>
        <w:tc>
          <w:tcPr>
            <w:tcW w:w="1870" w:type="dxa"/>
          </w:tcPr>
          <w:p w:rsidR="00E32265" w:rsidRPr="00E32265" w:rsidRDefault="00E32265" w:rsidP="00E322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4"/>
              </w:rPr>
            </w:pPr>
            <w:r w:rsidRPr="00E32265">
              <w:rPr>
                <w:rFonts w:ascii="Times New Roman" w:hAnsi="Times New Roman"/>
                <w:sz w:val="20"/>
                <w:szCs w:val="24"/>
              </w:rPr>
              <w:t>38,676</w:t>
            </w:r>
          </w:p>
        </w:tc>
      </w:tr>
      <w:tr w:rsidR="00E32265" w:rsidRPr="00E32265" w:rsidTr="00BF2A8E">
        <w:tc>
          <w:tcPr>
            <w:cnfStyle w:val="001000000000" w:firstRow="0" w:lastRow="0" w:firstColumn="1" w:lastColumn="0" w:oddVBand="0" w:evenVBand="0" w:oddHBand="0" w:evenHBand="0" w:firstRowFirstColumn="0" w:firstRowLastColumn="0" w:lastRowFirstColumn="0" w:lastRowLastColumn="0"/>
            <w:tcW w:w="2235" w:type="dxa"/>
          </w:tcPr>
          <w:p w:rsidR="00E32265" w:rsidRPr="00E32265" w:rsidRDefault="00E32265" w:rsidP="00E32265">
            <w:pPr>
              <w:jc w:val="center"/>
              <w:rPr>
                <w:rFonts w:ascii="Times New Roman" w:hAnsi="Times New Roman"/>
                <w:sz w:val="20"/>
                <w:szCs w:val="24"/>
              </w:rPr>
            </w:pPr>
            <w:r w:rsidRPr="00E32265">
              <w:rPr>
                <w:rFonts w:ascii="Times New Roman" w:hAnsi="Times New Roman"/>
                <w:sz w:val="20"/>
                <w:szCs w:val="24"/>
              </w:rPr>
              <w:t>Rural</w:t>
            </w:r>
          </w:p>
        </w:tc>
        <w:tc>
          <w:tcPr>
            <w:tcW w:w="1870" w:type="dxa"/>
          </w:tcPr>
          <w:p w:rsidR="00E32265" w:rsidRPr="00E32265" w:rsidRDefault="00E32265" w:rsidP="00E322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r w:rsidRPr="00E32265">
              <w:rPr>
                <w:rFonts w:ascii="Times New Roman" w:hAnsi="Times New Roman"/>
                <w:sz w:val="20"/>
                <w:szCs w:val="24"/>
              </w:rPr>
              <w:t>9.7</w:t>
            </w:r>
          </w:p>
        </w:tc>
        <w:tc>
          <w:tcPr>
            <w:tcW w:w="1870" w:type="dxa"/>
          </w:tcPr>
          <w:p w:rsidR="00E32265" w:rsidRPr="00E32265" w:rsidRDefault="00E32265" w:rsidP="00E322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r w:rsidRPr="00E32265">
              <w:rPr>
                <w:rFonts w:ascii="Times New Roman" w:hAnsi="Times New Roman"/>
                <w:sz w:val="20"/>
                <w:szCs w:val="24"/>
              </w:rPr>
              <w:t>0.8</w:t>
            </w:r>
          </w:p>
        </w:tc>
        <w:tc>
          <w:tcPr>
            <w:tcW w:w="1870" w:type="dxa"/>
          </w:tcPr>
          <w:p w:rsidR="00E32265" w:rsidRPr="00E32265" w:rsidRDefault="00E32265" w:rsidP="00E322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r w:rsidRPr="00E32265">
              <w:rPr>
                <w:rFonts w:ascii="Times New Roman" w:hAnsi="Times New Roman"/>
                <w:sz w:val="20"/>
                <w:szCs w:val="24"/>
              </w:rPr>
              <w:t>89.5</w:t>
            </w:r>
          </w:p>
        </w:tc>
        <w:tc>
          <w:tcPr>
            <w:tcW w:w="1870" w:type="dxa"/>
          </w:tcPr>
          <w:p w:rsidR="00E32265" w:rsidRPr="00E32265" w:rsidRDefault="00E32265" w:rsidP="00E322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4"/>
              </w:rPr>
            </w:pPr>
            <w:r w:rsidRPr="00E32265">
              <w:rPr>
                <w:rFonts w:ascii="Times New Roman" w:hAnsi="Times New Roman"/>
                <w:sz w:val="20"/>
                <w:szCs w:val="24"/>
              </w:rPr>
              <w:t>38,887</w:t>
            </w:r>
          </w:p>
        </w:tc>
      </w:tr>
      <w:tr w:rsidR="00E32265" w:rsidRPr="00E32265" w:rsidTr="00BF2A8E">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2235" w:type="dxa"/>
          </w:tcPr>
          <w:p w:rsidR="00E32265" w:rsidRPr="00E32265" w:rsidRDefault="00E32265" w:rsidP="00E32265">
            <w:pPr>
              <w:jc w:val="center"/>
              <w:rPr>
                <w:rFonts w:ascii="Times New Roman" w:hAnsi="Times New Roman"/>
                <w:sz w:val="20"/>
                <w:szCs w:val="24"/>
              </w:rPr>
            </w:pPr>
            <w:r w:rsidRPr="00E32265">
              <w:rPr>
                <w:rFonts w:ascii="Times New Roman" w:hAnsi="Times New Roman"/>
                <w:sz w:val="20"/>
                <w:szCs w:val="24"/>
              </w:rPr>
              <w:t>Total</w:t>
            </w:r>
          </w:p>
          <w:p w:rsidR="00E32265" w:rsidRPr="00E32265" w:rsidRDefault="00E32265" w:rsidP="00E32265">
            <w:pPr>
              <w:jc w:val="center"/>
              <w:rPr>
                <w:rFonts w:ascii="Times New Roman" w:hAnsi="Times New Roman"/>
                <w:sz w:val="20"/>
                <w:szCs w:val="24"/>
              </w:rPr>
            </w:pPr>
          </w:p>
        </w:tc>
        <w:tc>
          <w:tcPr>
            <w:tcW w:w="1870" w:type="dxa"/>
          </w:tcPr>
          <w:p w:rsidR="00E32265" w:rsidRPr="00E32265" w:rsidRDefault="00E32265" w:rsidP="00E322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4"/>
              </w:rPr>
            </w:pPr>
            <w:r w:rsidRPr="00E32265">
              <w:rPr>
                <w:rFonts w:ascii="Times New Roman" w:hAnsi="Times New Roman"/>
                <w:b/>
                <w:sz w:val="20"/>
                <w:szCs w:val="24"/>
              </w:rPr>
              <w:t>24.1</w:t>
            </w:r>
          </w:p>
        </w:tc>
        <w:tc>
          <w:tcPr>
            <w:tcW w:w="1870" w:type="dxa"/>
          </w:tcPr>
          <w:p w:rsidR="00E32265" w:rsidRPr="00E32265" w:rsidRDefault="00E32265" w:rsidP="00E322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4"/>
              </w:rPr>
            </w:pPr>
            <w:r w:rsidRPr="00E32265">
              <w:rPr>
                <w:rFonts w:ascii="Times New Roman" w:hAnsi="Times New Roman"/>
                <w:b/>
                <w:sz w:val="20"/>
                <w:szCs w:val="24"/>
              </w:rPr>
              <w:t>1.8</w:t>
            </w:r>
          </w:p>
        </w:tc>
        <w:tc>
          <w:tcPr>
            <w:tcW w:w="1870" w:type="dxa"/>
          </w:tcPr>
          <w:p w:rsidR="00E32265" w:rsidRPr="00E32265" w:rsidRDefault="00E32265" w:rsidP="00E322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4"/>
              </w:rPr>
            </w:pPr>
            <w:r w:rsidRPr="00E32265">
              <w:rPr>
                <w:rFonts w:ascii="Times New Roman" w:hAnsi="Times New Roman"/>
                <w:b/>
                <w:sz w:val="20"/>
                <w:szCs w:val="24"/>
              </w:rPr>
              <w:t>74.1</w:t>
            </w:r>
          </w:p>
        </w:tc>
        <w:tc>
          <w:tcPr>
            <w:tcW w:w="1870" w:type="dxa"/>
          </w:tcPr>
          <w:p w:rsidR="00E32265" w:rsidRPr="00E32265" w:rsidRDefault="00E32265" w:rsidP="00E3226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4"/>
              </w:rPr>
            </w:pPr>
            <w:r w:rsidRPr="00E32265">
              <w:rPr>
                <w:rFonts w:ascii="Times New Roman" w:hAnsi="Times New Roman"/>
                <w:b/>
                <w:sz w:val="20"/>
                <w:szCs w:val="24"/>
              </w:rPr>
              <w:t>95,955</w:t>
            </w:r>
          </w:p>
        </w:tc>
      </w:tr>
    </w:tbl>
    <w:p w:rsidR="00E32265" w:rsidRPr="00E32265" w:rsidRDefault="00E32265" w:rsidP="00E32265">
      <w:pPr>
        <w:autoSpaceDE w:val="0"/>
        <w:autoSpaceDN w:val="0"/>
        <w:adjustRightInd w:val="0"/>
        <w:spacing w:after="0" w:line="240" w:lineRule="auto"/>
        <w:jc w:val="both"/>
        <w:rPr>
          <w:rFonts w:ascii="Times New Roman" w:eastAsia="Times New Roman" w:hAnsi="Times New Roman" w:cs="Times New Roman"/>
          <w:bCs/>
          <w:sz w:val="24"/>
          <w:szCs w:val="24"/>
        </w:rPr>
      </w:pPr>
    </w:p>
    <w:p w:rsidR="00E32265" w:rsidRPr="00E32265" w:rsidRDefault="00E32265" w:rsidP="00E32265">
      <w:pPr>
        <w:autoSpaceDE w:val="0"/>
        <w:autoSpaceDN w:val="0"/>
        <w:adjustRightInd w:val="0"/>
        <w:spacing w:after="0" w:line="360" w:lineRule="auto"/>
        <w:jc w:val="both"/>
        <w:rPr>
          <w:rFonts w:ascii="Arial" w:eastAsia="Times New Roman" w:hAnsi="Arial" w:cs="Arial"/>
          <w:bCs/>
          <w:sz w:val="24"/>
          <w:szCs w:val="24"/>
        </w:rPr>
      </w:pPr>
      <w:r w:rsidRPr="00E32265">
        <w:rPr>
          <w:rFonts w:ascii="Arial" w:eastAsia="Times New Roman" w:hAnsi="Arial" w:cs="Arial"/>
          <w:bCs/>
          <w:sz w:val="24"/>
          <w:szCs w:val="24"/>
        </w:rPr>
        <w:lastRenderedPageBreak/>
        <w:t xml:space="preserve">Based on the UNESCO Institute for Statistics, an estimated 88.47% of </w:t>
      </w:r>
      <w:r w:rsidR="00A95F03">
        <w:rPr>
          <w:rFonts w:ascii="Arial" w:eastAsia="Times New Roman" w:hAnsi="Arial" w:cs="Arial"/>
          <w:bCs/>
          <w:sz w:val="24"/>
          <w:szCs w:val="24"/>
        </w:rPr>
        <w:t>the</w:t>
      </w:r>
      <w:r w:rsidR="00A95F03" w:rsidRPr="00E32265">
        <w:rPr>
          <w:rFonts w:ascii="Arial" w:eastAsia="Times New Roman" w:hAnsi="Arial" w:cs="Arial"/>
          <w:bCs/>
          <w:sz w:val="24"/>
          <w:szCs w:val="24"/>
        </w:rPr>
        <w:t xml:space="preserve"> </w:t>
      </w:r>
      <w:r w:rsidRPr="00E32265">
        <w:rPr>
          <w:rFonts w:ascii="Arial" w:eastAsia="Times New Roman" w:hAnsi="Arial" w:cs="Arial"/>
          <w:bCs/>
          <w:sz w:val="24"/>
          <w:szCs w:val="24"/>
        </w:rPr>
        <w:t>population aged 15 years and above in Botswana were able to read and write at the beginning of 2019. However, when disaggregated by sex, the female population (88.93%) was more literate than their male counterpart</w:t>
      </w:r>
      <w:r w:rsidR="00A95F03">
        <w:rPr>
          <w:rFonts w:ascii="Arial" w:eastAsia="Times New Roman" w:hAnsi="Arial" w:cs="Arial"/>
          <w:bCs/>
          <w:sz w:val="24"/>
          <w:szCs w:val="24"/>
        </w:rPr>
        <w:t>s</w:t>
      </w:r>
      <w:r w:rsidRPr="00E32265">
        <w:rPr>
          <w:rFonts w:ascii="Arial" w:eastAsia="Times New Roman" w:hAnsi="Arial" w:cs="Arial"/>
          <w:bCs/>
          <w:sz w:val="24"/>
          <w:szCs w:val="24"/>
        </w:rPr>
        <w:t xml:space="preserve"> recorded at 88.01%. The youth (15-24 years old) literacy rates were also recorded at 96.15% and 99.58% for males and females accordingly, with an overall youth literacy rate of 97.85%. </w:t>
      </w:r>
    </w:p>
    <w:p w:rsidR="00E32265" w:rsidRPr="00E32265" w:rsidRDefault="00E32265" w:rsidP="00E32265">
      <w:pPr>
        <w:autoSpaceDE w:val="0"/>
        <w:autoSpaceDN w:val="0"/>
        <w:adjustRightInd w:val="0"/>
        <w:spacing w:after="0" w:line="360" w:lineRule="auto"/>
        <w:jc w:val="both"/>
        <w:rPr>
          <w:rFonts w:ascii="Arial" w:eastAsia="Times New Roman" w:hAnsi="Arial" w:cs="Arial"/>
          <w:bCs/>
          <w:sz w:val="24"/>
          <w:szCs w:val="24"/>
        </w:rPr>
      </w:pPr>
    </w:p>
    <w:p w:rsidR="00E32265" w:rsidRDefault="00E32265" w:rsidP="00E32265">
      <w:pPr>
        <w:autoSpaceDE w:val="0"/>
        <w:autoSpaceDN w:val="0"/>
        <w:adjustRightInd w:val="0"/>
        <w:spacing w:after="0" w:line="360" w:lineRule="auto"/>
        <w:jc w:val="both"/>
        <w:rPr>
          <w:rFonts w:ascii="Arial" w:eastAsia="Calibri" w:hAnsi="Arial" w:cs="Arial"/>
          <w:sz w:val="20"/>
          <w:szCs w:val="20"/>
          <w:lang w:val="en-GB"/>
        </w:rPr>
      </w:pPr>
      <w:r w:rsidRPr="00E32265">
        <w:rPr>
          <w:rFonts w:ascii="Arial" w:eastAsia="Times New Roman" w:hAnsi="Arial" w:cs="Arial"/>
          <w:bCs/>
          <w:sz w:val="24"/>
          <w:szCs w:val="24"/>
          <w:lang w:val="en-GB"/>
        </w:rPr>
        <w:t xml:space="preserve">In an effort to ensure equal access for all women and men to affordable and quality technical, vocational and tertiary education, including university, the </w:t>
      </w:r>
      <w:r w:rsidRPr="00E32265">
        <w:rPr>
          <w:rFonts w:ascii="Arial" w:eastAsia="Times New Roman" w:hAnsi="Arial" w:cs="Arial"/>
          <w:bCs/>
          <w:sz w:val="24"/>
          <w:szCs w:val="24"/>
        </w:rPr>
        <w:t xml:space="preserve">Gross Enrollment Rate (GER) at tertiary level was 18.2 % in 2017, showing a decrease by 9.5% from 59,091 in 2016/17 to 53,450 in 2017/18 financial year for the </w:t>
      </w:r>
      <w:proofErr w:type="gramStart"/>
      <w:r w:rsidRPr="00E32265">
        <w:rPr>
          <w:rFonts w:ascii="Arial" w:eastAsia="Times New Roman" w:hAnsi="Arial" w:cs="Arial"/>
          <w:bCs/>
          <w:sz w:val="24"/>
          <w:szCs w:val="24"/>
        </w:rPr>
        <w:t>18-24 year old</w:t>
      </w:r>
      <w:proofErr w:type="gramEnd"/>
      <w:r w:rsidRPr="00E32265">
        <w:rPr>
          <w:rFonts w:ascii="Arial" w:eastAsia="Times New Roman" w:hAnsi="Arial" w:cs="Arial"/>
          <w:bCs/>
          <w:sz w:val="24"/>
          <w:szCs w:val="24"/>
        </w:rPr>
        <w:t xml:space="preserve"> students. However, the female GER at tertiary was 58.3% in 2017/2018 financial year.</w:t>
      </w:r>
      <w:r w:rsidRPr="00E32265">
        <w:rPr>
          <w:rFonts w:ascii="Arial" w:eastAsia="Calibri" w:hAnsi="Arial" w:cs="Arial"/>
          <w:sz w:val="20"/>
          <w:szCs w:val="20"/>
          <w:lang w:val="en-GB"/>
        </w:rPr>
        <w:t xml:space="preserve"> </w:t>
      </w:r>
    </w:p>
    <w:p w:rsidR="00B717F6" w:rsidRDefault="00B717F6" w:rsidP="00E32265">
      <w:pPr>
        <w:autoSpaceDE w:val="0"/>
        <w:autoSpaceDN w:val="0"/>
        <w:adjustRightInd w:val="0"/>
        <w:spacing w:after="0" w:line="360" w:lineRule="auto"/>
        <w:jc w:val="both"/>
        <w:rPr>
          <w:rFonts w:ascii="Arial" w:eastAsia="Calibri" w:hAnsi="Arial" w:cs="Arial"/>
          <w:sz w:val="20"/>
          <w:szCs w:val="20"/>
          <w:lang w:val="en-GB"/>
        </w:rPr>
      </w:pPr>
    </w:p>
    <w:p w:rsidR="00C73E1E" w:rsidRDefault="00C73E1E" w:rsidP="00B717F6">
      <w:pPr>
        <w:autoSpaceDE w:val="0"/>
        <w:autoSpaceDN w:val="0"/>
        <w:adjustRightInd w:val="0"/>
        <w:spacing w:after="0" w:line="360" w:lineRule="auto"/>
        <w:jc w:val="both"/>
        <w:rPr>
          <w:rFonts w:ascii="Arial" w:eastAsia="Times New Roman" w:hAnsi="Arial" w:cs="Arial"/>
          <w:bCs/>
          <w:sz w:val="24"/>
          <w:szCs w:val="24"/>
        </w:rPr>
      </w:pPr>
      <w:r>
        <w:rPr>
          <w:rFonts w:ascii="Arial" w:eastAsia="Calibri" w:hAnsi="Arial" w:cs="Arial"/>
          <w:b/>
          <w:sz w:val="24"/>
          <w:szCs w:val="24"/>
        </w:rPr>
        <w:t xml:space="preserve">3.2.2 </w:t>
      </w:r>
      <w:r w:rsidRPr="00F606A2">
        <w:rPr>
          <w:rFonts w:ascii="Arial" w:eastAsia="Calibri" w:hAnsi="Arial" w:cs="Arial"/>
          <w:b/>
          <w:sz w:val="24"/>
          <w:szCs w:val="24"/>
        </w:rPr>
        <w:t xml:space="preserve">Major Government </w:t>
      </w:r>
      <w:proofErr w:type="spellStart"/>
      <w:r w:rsidRPr="00F606A2">
        <w:rPr>
          <w:rFonts w:ascii="Arial" w:eastAsia="Calibri" w:hAnsi="Arial" w:cs="Arial"/>
          <w:b/>
          <w:sz w:val="24"/>
          <w:szCs w:val="24"/>
        </w:rPr>
        <w:t>Programmes</w:t>
      </w:r>
      <w:proofErr w:type="spellEnd"/>
      <w:r w:rsidRPr="00F606A2">
        <w:rPr>
          <w:rFonts w:ascii="Arial" w:eastAsia="Calibri" w:hAnsi="Arial" w:cs="Arial"/>
          <w:b/>
          <w:sz w:val="24"/>
          <w:szCs w:val="24"/>
        </w:rPr>
        <w:t>/Initiatives and Policy Interventions</w:t>
      </w:r>
      <w:r w:rsidRPr="00F606A2">
        <w:rPr>
          <w:rFonts w:ascii="Arial" w:eastAsia="Times New Roman" w:hAnsi="Arial" w:cs="Arial"/>
          <w:bCs/>
          <w:sz w:val="24"/>
          <w:szCs w:val="24"/>
        </w:rPr>
        <w:t xml:space="preserve"> </w:t>
      </w:r>
    </w:p>
    <w:p w:rsidR="00B717F6" w:rsidRDefault="00B717F6" w:rsidP="00B717F6">
      <w:pPr>
        <w:autoSpaceDE w:val="0"/>
        <w:autoSpaceDN w:val="0"/>
        <w:adjustRightInd w:val="0"/>
        <w:spacing w:after="0" w:line="360" w:lineRule="auto"/>
        <w:jc w:val="both"/>
        <w:rPr>
          <w:rFonts w:ascii="Arial" w:eastAsia="Times New Roman" w:hAnsi="Arial" w:cs="Arial"/>
          <w:bCs/>
          <w:sz w:val="24"/>
          <w:szCs w:val="24"/>
        </w:rPr>
      </w:pPr>
      <w:r w:rsidRPr="00F606A2">
        <w:rPr>
          <w:rFonts w:ascii="Arial" w:eastAsia="Times New Roman" w:hAnsi="Arial" w:cs="Arial"/>
          <w:bCs/>
          <w:sz w:val="24"/>
          <w:szCs w:val="24"/>
        </w:rPr>
        <w:t xml:space="preserve">An analysis of Botswana’s education landscape reveals that the country has </w:t>
      </w:r>
      <w:r w:rsidR="00360B04">
        <w:rPr>
          <w:rFonts w:ascii="Arial" w:eastAsia="Times New Roman" w:hAnsi="Arial" w:cs="Arial"/>
          <w:bCs/>
          <w:sz w:val="24"/>
          <w:szCs w:val="24"/>
        </w:rPr>
        <w:t>a wide-range of</w:t>
      </w:r>
      <w:r w:rsidRPr="00F606A2">
        <w:rPr>
          <w:rFonts w:ascii="Arial" w:eastAsia="Times New Roman" w:hAnsi="Arial" w:cs="Arial"/>
          <w:bCs/>
          <w:sz w:val="24"/>
          <w:szCs w:val="24"/>
        </w:rPr>
        <w:t xml:space="preserve"> education policies, strategies and plans in place that address issues of quality, access and relevance across the entire education sector. These policies and plans are informed by National Vision 2036 aimed at transforming Botswana into a knowledge-driven economy</w:t>
      </w:r>
      <w:r>
        <w:rPr>
          <w:rFonts w:ascii="Arial" w:eastAsia="Times New Roman" w:hAnsi="Arial" w:cs="Arial"/>
          <w:bCs/>
          <w:sz w:val="24"/>
          <w:szCs w:val="24"/>
        </w:rPr>
        <w:t>,</w:t>
      </w:r>
      <w:r w:rsidRPr="00F606A2">
        <w:rPr>
          <w:rFonts w:ascii="Arial" w:eastAsia="Times New Roman" w:hAnsi="Arial" w:cs="Arial"/>
          <w:bCs/>
          <w:sz w:val="24"/>
          <w:szCs w:val="24"/>
        </w:rPr>
        <w:t xml:space="preserve"> through a robust inclusive quality education system. </w:t>
      </w:r>
    </w:p>
    <w:p w:rsidR="00360B04" w:rsidRPr="00F606A2" w:rsidRDefault="00360B04" w:rsidP="00B717F6">
      <w:pPr>
        <w:autoSpaceDE w:val="0"/>
        <w:autoSpaceDN w:val="0"/>
        <w:adjustRightInd w:val="0"/>
        <w:spacing w:after="0" w:line="360" w:lineRule="auto"/>
        <w:jc w:val="both"/>
        <w:rPr>
          <w:rFonts w:ascii="Arial" w:eastAsia="Times New Roman" w:hAnsi="Arial" w:cs="Arial"/>
          <w:bCs/>
          <w:sz w:val="24"/>
          <w:szCs w:val="24"/>
        </w:rPr>
      </w:pPr>
    </w:p>
    <w:p w:rsidR="00B717F6" w:rsidRPr="00F606A2" w:rsidRDefault="00B717F6" w:rsidP="00B717F6">
      <w:pPr>
        <w:autoSpaceDE w:val="0"/>
        <w:autoSpaceDN w:val="0"/>
        <w:adjustRightInd w:val="0"/>
        <w:spacing w:after="0" w:line="360" w:lineRule="auto"/>
        <w:jc w:val="both"/>
        <w:rPr>
          <w:rFonts w:ascii="Arial" w:eastAsia="Times New Roman" w:hAnsi="Arial" w:cs="Arial"/>
          <w:bCs/>
          <w:sz w:val="24"/>
          <w:szCs w:val="24"/>
        </w:rPr>
      </w:pPr>
      <w:r w:rsidRPr="00F606A2">
        <w:rPr>
          <w:rFonts w:ascii="Arial" w:eastAsia="Times New Roman" w:hAnsi="Arial" w:cs="Arial"/>
          <w:bCs/>
          <w:sz w:val="24"/>
          <w:szCs w:val="24"/>
        </w:rPr>
        <w:t>The overarching policy is the Revised National Policy on Education (RNPE) which focuses on access and eq</w:t>
      </w:r>
      <w:r w:rsidR="00360B04">
        <w:rPr>
          <w:rFonts w:ascii="Arial" w:eastAsia="Times New Roman" w:hAnsi="Arial" w:cs="Arial"/>
          <w:bCs/>
          <w:sz w:val="24"/>
          <w:szCs w:val="24"/>
        </w:rPr>
        <w:t>uity, quality and relevance, as well as</w:t>
      </w:r>
      <w:r w:rsidRPr="00F606A2">
        <w:rPr>
          <w:rFonts w:ascii="Arial" w:eastAsia="Times New Roman" w:hAnsi="Arial" w:cs="Arial"/>
          <w:bCs/>
          <w:sz w:val="24"/>
          <w:szCs w:val="24"/>
        </w:rPr>
        <w:t xml:space="preserve"> efficiency and effectiveness of the provision of education and training in Botswana. All other education related policies and </w:t>
      </w:r>
      <w:proofErr w:type="spellStart"/>
      <w:r w:rsidRPr="00F606A2">
        <w:rPr>
          <w:rFonts w:ascii="Arial" w:eastAsia="Times New Roman" w:hAnsi="Arial" w:cs="Arial"/>
          <w:bCs/>
          <w:sz w:val="24"/>
          <w:szCs w:val="24"/>
        </w:rPr>
        <w:t>programmes</w:t>
      </w:r>
      <w:proofErr w:type="spellEnd"/>
      <w:r w:rsidRPr="00F606A2">
        <w:rPr>
          <w:rFonts w:ascii="Arial" w:eastAsia="Times New Roman" w:hAnsi="Arial" w:cs="Arial"/>
          <w:bCs/>
          <w:sz w:val="24"/>
          <w:szCs w:val="24"/>
        </w:rPr>
        <w:t xml:space="preserve"> are anchored on the RNPE.</w:t>
      </w:r>
    </w:p>
    <w:p w:rsidR="00B717F6" w:rsidRPr="00E32265" w:rsidRDefault="00B717F6" w:rsidP="00E32265">
      <w:pPr>
        <w:autoSpaceDE w:val="0"/>
        <w:autoSpaceDN w:val="0"/>
        <w:adjustRightInd w:val="0"/>
        <w:spacing w:after="0" w:line="360" w:lineRule="auto"/>
        <w:jc w:val="both"/>
        <w:rPr>
          <w:rFonts w:ascii="Arial" w:eastAsia="Times New Roman" w:hAnsi="Arial" w:cs="Arial"/>
          <w:bCs/>
          <w:sz w:val="24"/>
          <w:szCs w:val="24"/>
        </w:rPr>
      </w:pPr>
    </w:p>
    <w:p w:rsidR="00E32265" w:rsidRPr="00E32265" w:rsidRDefault="00E32265" w:rsidP="00863D92">
      <w:pPr>
        <w:spacing w:after="0" w:line="360" w:lineRule="auto"/>
        <w:jc w:val="both"/>
        <w:rPr>
          <w:rFonts w:ascii="Arial" w:eastAsia="Calibri" w:hAnsi="Arial" w:cs="Arial"/>
          <w:sz w:val="24"/>
          <w:szCs w:val="24"/>
        </w:rPr>
      </w:pPr>
      <w:r w:rsidRPr="00E32265">
        <w:rPr>
          <w:rFonts w:ascii="Arial" w:eastAsia="Calibri" w:hAnsi="Arial" w:cs="Arial"/>
          <w:sz w:val="24"/>
          <w:szCs w:val="24"/>
          <w:lang w:bidi="en-US"/>
        </w:rPr>
        <w:t xml:space="preserve">Although access to early childhood education is low, </w:t>
      </w:r>
      <w:r w:rsidR="00360B04">
        <w:rPr>
          <w:rFonts w:ascii="Arial" w:eastAsia="Calibri" w:hAnsi="Arial" w:cs="Arial"/>
          <w:sz w:val="24"/>
          <w:szCs w:val="24"/>
          <w:lang w:bidi="en-US"/>
        </w:rPr>
        <w:t>G</w:t>
      </w:r>
      <w:r w:rsidRPr="00E32265">
        <w:rPr>
          <w:rFonts w:ascii="Arial" w:eastAsia="Calibri" w:hAnsi="Arial" w:cs="Arial"/>
          <w:sz w:val="24"/>
          <w:szCs w:val="24"/>
          <w:lang w:bidi="en-US"/>
        </w:rPr>
        <w:t xml:space="preserve">overnment </w:t>
      </w:r>
      <w:r w:rsidR="00360B04">
        <w:rPr>
          <w:rFonts w:ascii="Arial" w:eastAsia="Calibri" w:hAnsi="Arial" w:cs="Arial"/>
          <w:sz w:val="24"/>
          <w:szCs w:val="24"/>
          <w:lang w:bidi="en-US"/>
        </w:rPr>
        <w:t>sees the importance of adopting</w:t>
      </w:r>
      <w:r w:rsidR="00863D92">
        <w:rPr>
          <w:rFonts w:ascii="Arial" w:eastAsia="Calibri" w:hAnsi="Arial" w:cs="Arial"/>
          <w:sz w:val="24"/>
          <w:szCs w:val="24"/>
          <w:lang w:bidi="en-US"/>
        </w:rPr>
        <w:t xml:space="preserve"> a </w:t>
      </w:r>
      <w:r w:rsidRPr="00E32265">
        <w:rPr>
          <w:rFonts w:ascii="Arial" w:eastAsia="Calibri" w:hAnsi="Arial" w:cs="Arial"/>
          <w:sz w:val="24"/>
          <w:szCs w:val="24"/>
        </w:rPr>
        <w:t>child-friendly environment for children,</w:t>
      </w:r>
      <w:r w:rsidR="00360B04">
        <w:rPr>
          <w:rFonts w:ascii="Arial" w:eastAsia="Calibri" w:hAnsi="Arial" w:cs="Arial"/>
          <w:sz w:val="24"/>
          <w:szCs w:val="24"/>
        </w:rPr>
        <w:t xml:space="preserve"> through</w:t>
      </w:r>
      <w:r w:rsidRPr="00E32265">
        <w:rPr>
          <w:rFonts w:ascii="Arial" w:eastAsia="Calibri" w:hAnsi="Arial" w:cs="Arial"/>
          <w:sz w:val="24"/>
          <w:szCs w:val="24"/>
        </w:rPr>
        <w:t xml:space="preserve"> early childhood and pre-primary education. </w:t>
      </w:r>
      <w:r w:rsidR="00360B04">
        <w:rPr>
          <w:rFonts w:ascii="Arial" w:eastAsia="Calibri" w:hAnsi="Arial" w:cs="Arial"/>
          <w:sz w:val="24"/>
          <w:szCs w:val="24"/>
        </w:rPr>
        <w:t>G</w:t>
      </w:r>
      <w:r w:rsidRPr="00E32265">
        <w:rPr>
          <w:rFonts w:ascii="Arial" w:eastAsia="Calibri" w:hAnsi="Arial" w:cs="Arial"/>
          <w:sz w:val="24"/>
          <w:szCs w:val="24"/>
        </w:rPr>
        <w:t xml:space="preserve">overnment, in partnership with development partners, private and civil society sectors, </w:t>
      </w:r>
      <w:r w:rsidR="0004670B">
        <w:rPr>
          <w:rFonts w:ascii="Arial" w:eastAsia="Calibri" w:hAnsi="Arial" w:cs="Arial"/>
          <w:sz w:val="24"/>
          <w:szCs w:val="24"/>
        </w:rPr>
        <w:t>put</w:t>
      </w:r>
      <w:r w:rsidR="0004670B" w:rsidRPr="00E32265">
        <w:rPr>
          <w:rFonts w:ascii="Arial" w:eastAsia="Calibri" w:hAnsi="Arial" w:cs="Arial"/>
          <w:sz w:val="24"/>
          <w:szCs w:val="24"/>
        </w:rPr>
        <w:t xml:space="preserve"> </w:t>
      </w:r>
      <w:r w:rsidRPr="00E32265">
        <w:rPr>
          <w:rFonts w:ascii="Arial" w:eastAsia="Calibri" w:hAnsi="Arial" w:cs="Arial"/>
          <w:sz w:val="24"/>
          <w:szCs w:val="24"/>
        </w:rPr>
        <w:t xml:space="preserve">in place strategies for </w:t>
      </w:r>
      <w:r w:rsidR="0004670B">
        <w:rPr>
          <w:rFonts w:ascii="Arial" w:eastAsia="Calibri" w:hAnsi="Arial" w:cs="Arial"/>
          <w:sz w:val="24"/>
          <w:szCs w:val="24"/>
        </w:rPr>
        <w:t>ensu</w:t>
      </w:r>
      <w:r w:rsidR="0004670B" w:rsidRPr="00E32265">
        <w:rPr>
          <w:rFonts w:ascii="Arial" w:eastAsia="Calibri" w:hAnsi="Arial" w:cs="Arial"/>
          <w:sz w:val="24"/>
          <w:szCs w:val="24"/>
        </w:rPr>
        <w:t xml:space="preserve">ring </w:t>
      </w:r>
      <w:r w:rsidRPr="00E32265">
        <w:rPr>
          <w:rFonts w:ascii="Arial" w:eastAsia="Calibri" w:hAnsi="Arial" w:cs="Arial"/>
          <w:sz w:val="24"/>
          <w:szCs w:val="24"/>
        </w:rPr>
        <w:t xml:space="preserve">access to early childhood education and will be expanded over the coming years. </w:t>
      </w:r>
    </w:p>
    <w:p w:rsidR="00E32265" w:rsidRPr="00E32265" w:rsidRDefault="0004670B" w:rsidP="00863D92">
      <w:pPr>
        <w:spacing w:after="0" w:line="360" w:lineRule="auto"/>
        <w:jc w:val="both"/>
        <w:rPr>
          <w:rFonts w:ascii="Times New Roman" w:eastAsia="Times New Roman" w:hAnsi="Times New Roman" w:cs="Times New Roman"/>
          <w:bCs/>
          <w:sz w:val="24"/>
          <w:szCs w:val="24"/>
        </w:rPr>
      </w:pPr>
      <w:r>
        <w:rPr>
          <w:rFonts w:ascii="Arial" w:eastAsia="Times New Roman" w:hAnsi="Arial" w:cs="Arial"/>
          <w:bCs/>
          <w:sz w:val="24"/>
          <w:szCs w:val="24"/>
        </w:rPr>
        <w:lastRenderedPageBreak/>
        <w:t>For many</w:t>
      </w:r>
      <w:r w:rsidR="00E32265" w:rsidRPr="00E32265">
        <w:rPr>
          <w:rFonts w:ascii="Arial" w:eastAsia="Times New Roman" w:hAnsi="Arial" w:cs="Arial"/>
          <w:bCs/>
          <w:sz w:val="24"/>
          <w:szCs w:val="24"/>
        </w:rPr>
        <w:t xml:space="preserve"> years, pre-primary education has mainly been provided by the private sector until 2013 when the </w:t>
      </w:r>
      <w:proofErr w:type="spellStart"/>
      <w:r w:rsidR="00E32265" w:rsidRPr="00E32265">
        <w:rPr>
          <w:rFonts w:ascii="Arial" w:eastAsia="Times New Roman" w:hAnsi="Arial" w:cs="Arial"/>
          <w:bCs/>
          <w:sz w:val="24"/>
          <w:szCs w:val="24"/>
        </w:rPr>
        <w:t>programme</w:t>
      </w:r>
      <w:proofErr w:type="spellEnd"/>
      <w:r w:rsidR="00E32265" w:rsidRPr="00E32265">
        <w:rPr>
          <w:rFonts w:ascii="Arial" w:eastAsia="Times New Roman" w:hAnsi="Arial" w:cs="Arial"/>
          <w:bCs/>
          <w:sz w:val="24"/>
          <w:szCs w:val="24"/>
        </w:rPr>
        <w:t xml:space="preserve"> was also introduced to public schools. In 2014, the one-year reception </w:t>
      </w:r>
      <w:proofErr w:type="spellStart"/>
      <w:r w:rsidR="00E32265" w:rsidRPr="00E32265">
        <w:rPr>
          <w:rFonts w:ascii="Arial" w:eastAsia="Times New Roman" w:hAnsi="Arial" w:cs="Arial"/>
          <w:bCs/>
          <w:sz w:val="24"/>
          <w:szCs w:val="24"/>
        </w:rPr>
        <w:t>pro</w:t>
      </w:r>
      <w:r w:rsidR="00863D92">
        <w:rPr>
          <w:rFonts w:ascii="Arial" w:eastAsia="Times New Roman" w:hAnsi="Arial" w:cs="Arial"/>
          <w:bCs/>
          <w:sz w:val="24"/>
          <w:szCs w:val="24"/>
        </w:rPr>
        <w:t>gramme</w:t>
      </w:r>
      <w:proofErr w:type="spellEnd"/>
      <w:r w:rsidR="00863D92">
        <w:rPr>
          <w:rFonts w:ascii="Arial" w:eastAsia="Times New Roman" w:hAnsi="Arial" w:cs="Arial"/>
          <w:bCs/>
          <w:sz w:val="24"/>
          <w:szCs w:val="24"/>
        </w:rPr>
        <w:t xml:space="preserve"> was </w:t>
      </w:r>
      <w:r w:rsidR="00E32265" w:rsidRPr="00E32265">
        <w:rPr>
          <w:rFonts w:ascii="Arial" w:eastAsia="Times New Roman" w:hAnsi="Arial" w:cs="Arial"/>
          <w:bCs/>
          <w:sz w:val="24"/>
          <w:szCs w:val="24"/>
        </w:rPr>
        <w:t>introduced to 15.2% of the public primary schools reaching more than 4,000 children. Prior to the introduction of reception classes in public schoo</w:t>
      </w:r>
      <w:r w:rsidR="00863D92">
        <w:rPr>
          <w:rFonts w:ascii="Arial" w:eastAsia="Times New Roman" w:hAnsi="Arial" w:cs="Arial"/>
          <w:bCs/>
          <w:sz w:val="24"/>
          <w:szCs w:val="24"/>
        </w:rPr>
        <w:t>ls, the government had</w:t>
      </w:r>
      <w:r w:rsidR="00E32265" w:rsidRPr="00E32265">
        <w:rPr>
          <w:rFonts w:ascii="Arial" w:eastAsia="Times New Roman" w:hAnsi="Arial" w:cs="Arial"/>
          <w:bCs/>
          <w:sz w:val="24"/>
          <w:szCs w:val="24"/>
        </w:rPr>
        <w:t xml:space="preserve"> an orientation </w:t>
      </w:r>
      <w:proofErr w:type="spellStart"/>
      <w:r w:rsidR="00E32265" w:rsidRPr="00E32265">
        <w:rPr>
          <w:rFonts w:ascii="Arial" w:eastAsia="Times New Roman" w:hAnsi="Arial" w:cs="Arial"/>
          <w:bCs/>
          <w:sz w:val="24"/>
          <w:szCs w:val="24"/>
        </w:rPr>
        <w:t>programme</w:t>
      </w:r>
      <w:proofErr w:type="spellEnd"/>
      <w:r w:rsidR="00E32265" w:rsidRPr="00E32265">
        <w:rPr>
          <w:rFonts w:ascii="Arial" w:eastAsia="Times New Roman" w:hAnsi="Arial" w:cs="Arial"/>
          <w:bCs/>
          <w:sz w:val="24"/>
          <w:szCs w:val="24"/>
        </w:rPr>
        <w:t xml:space="preserve"> for prospective Standard One </w:t>
      </w:r>
      <w:proofErr w:type="gramStart"/>
      <w:r w:rsidR="00E32265" w:rsidRPr="00E32265">
        <w:rPr>
          <w:rFonts w:ascii="Arial" w:eastAsia="Times New Roman" w:hAnsi="Arial" w:cs="Arial"/>
          <w:bCs/>
          <w:sz w:val="24"/>
          <w:szCs w:val="24"/>
        </w:rPr>
        <w:t>pupils</w:t>
      </w:r>
      <w:proofErr w:type="gramEnd"/>
      <w:r w:rsidR="00863D92" w:rsidRPr="00863D92">
        <w:rPr>
          <w:rFonts w:ascii="Arial" w:eastAsia="Times New Roman" w:hAnsi="Arial" w:cs="Arial"/>
          <w:bCs/>
          <w:sz w:val="24"/>
          <w:szCs w:val="24"/>
        </w:rPr>
        <w:t>,</w:t>
      </w:r>
      <w:r>
        <w:rPr>
          <w:rFonts w:ascii="Arial" w:eastAsia="Times New Roman" w:hAnsi="Arial" w:cs="Arial"/>
          <w:bCs/>
          <w:sz w:val="24"/>
          <w:szCs w:val="24"/>
        </w:rPr>
        <w:t xml:space="preserve"> </w:t>
      </w:r>
      <w:r w:rsidR="00E32265" w:rsidRPr="00E32265">
        <w:rPr>
          <w:rFonts w:ascii="Arial" w:eastAsia="Times New Roman" w:hAnsi="Arial" w:cs="Arial"/>
          <w:bCs/>
          <w:sz w:val="24"/>
          <w:szCs w:val="24"/>
        </w:rPr>
        <w:t>for all public primary schools.</w:t>
      </w:r>
      <w:r w:rsidR="00863D92">
        <w:rPr>
          <w:rFonts w:ascii="Arial" w:eastAsia="Times New Roman" w:hAnsi="Arial" w:cs="Arial"/>
          <w:bCs/>
          <w:sz w:val="24"/>
          <w:szCs w:val="24"/>
        </w:rPr>
        <w:t xml:space="preserve"> The six weeks </w:t>
      </w:r>
      <w:proofErr w:type="spellStart"/>
      <w:r w:rsidR="00863D92">
        <w:rPr>
          <w:rFonts w:ascii="Arial" w:eastAsia="Times New Roman" w:hAnsi="Arial" w:cs="Arial"/>
          <w:bCs/>
          <w:sz w:val="24"/>
          <w:szCs w:val="24"/>
        </w:rPr>
        <w:t>programme</w:t>
      </w:r>
      <w:proofErr w:type="spellEnd"/>
      <w:r w:rsidR="00863D92">
        <w:rPr>
          <w:rFonts w:ascii="Arial" w:eastAsia="Times New Roman" w:hAnsi="Arial" w:cs="Arial"/>
          <w:bCs/>
          <w:sz w:val="24"/>
          <w:szCs w:val="24"/>
        </w:rPr>
        <w:t xml:space="preserve"> </w:t>
      </w:r>
      <w:r w:rsidR="00D67524">
        <w:rPr>
          <w:rFonts w:ascii="Arial" w:eastAsia="Times New Roman" w:hAnsi="Arial" w:cs="Arial"/>
          <w:bCs/>
          <w:sz w:val="24"/>
          <w:szCs w:val="24"/>
        </w:rPr>
        <w:t>prepare</w:t>
      </w:r>
      <w:r w:rsidR="00D67524" w:rsidRPr="00E32265">
        <w:rPr>
          <w:rFonts w:ascii="Arial" w:eastAsia="Times New Roman" w:hAnsi="Arial" w:cs="Arial"/>
          <w:bCs/>
          <w:sz w:val="24"/>
          <w:szCs w:val="24"/>
        </w:rPr>
        <w:t>s</w:t>
      </w:r>
      <w:r w:rsidR="00E32265" w:rsidRPr="00E32265">
        <w:rPr>
          <w:rFonts w:ascii="Arial" w:eastAsia="Times New Roman" w:hAnsi="Arial" w:cs="Arial"/>
          <w:bCs/>
          <w:sz w:val="24"/>
          <w:szCs w:val="24"/>
        </w:rPr>
        <w:t xml:space="preserve"> children for learning, with the provision of readiness activities for children to settle into schools</w:t>
      </w:r>
      <w:r w:rsidR="00E32265" w:rsidRPr="00E32265">
        <w:rPr>
          <w:rFonts w:ascii="Arial" w:eastAsia="Times New Roman" w:hAnsi="Arial" w:cs="Arial"/>
          <w:bCs/>
          <w:sz w:val="24"/>
          <w:szCs w:val="24"/>
          <w:vertAlign w:val="superscript"/>
        </w:rPr>
        <w:footnoteReference w:id="2"/>
      </w:r>
      <w:r w:rsidR="00E32265" w:rsidRPr="00E32265">
        <w:rPr>
          <w:rFonts w:ascii="Arial" w:eastAsia="Times New Roman" w:hAnsi="Arial" w:cs="Arial"/>
          <w:bCs/>
          <w:sz w:val="24"/>
          <w:szCs w:val="24"/>
        </w:rPr>
        <w:t>.</w:t>
      </w:r>
      <w:r w:rsidR="00E32265" w:rsidRPr="00E32265">
        <w:rPr>
          <w:rFonts w:ascii="Times New Roman" w:eastAsia="Times New Roman" w:hAnsi="Times New Roman" w:cs="Times New Roman"/>
          <w:bCs/>
          <w:sz w:val="24"/>
          <w:szCs w:val="24"/>
        </w:rPr>
        <w:t xml:space="preserve"> </w:t>
      </w:r>
    </w:p>
    <w:p w:rsidR="00E32265" w:rsidRPr="00E32265" w:rsidRDefault="00E32265" w:rsidP="00E32265">
      <w:pPr>
        <w:spacing w:after="0" w:line="240" w:lineRule="auto"/>
        <w:jc w:val="both"/>
        <w:rPr>
          <w:rFonts w:ascii="Times New Roman" w:eastAsia="Times New Roman" w:hAnsi="Times New Roman" w:cs="Times New Roman"/>
          <w:bCs/>
          <w:sz w:val="24"/>
          <w:szCs w:val="24"/>
        </w:rPr>
      </w:pPr>
    </w:p>
    <w:p w:rsidR="00E32265" w:rsidRPr="00E32265" w:rsidRDefault="0004670B" w:rsidP="00863D92">
      <w:pPr>
        <w:spacing w:after="160" w:line="360" w:lineRule="auto"/>
        <w:jc w:val="both"/>
        <w:rPr>
          <w:rFonts w:ascii="Arial" w:eastAsia="Calibri" w:hAnsi="Arial" w:cs="Arial"/>
          <w:bCs/>
          <w:iCs/>
          <w:sz w:val="24"/>
          <w:szCs w:val="24"/>
        </w:rPr>
      </w:pPr>
      <w:r>
        <w:rPr>
          <w:rFonts w:ascii="Arial" w:eastAsia="Calibri" w:hAnsi="Arial" w:cs="Arial"/>
          <w:bCs/>
          <w:iCs/>
          <w:sz w:val="24"/>
          <w:szCs w:val="24"/>
        </w:rPr>
        <w:t>T</w:t>
      </w:r>
      <w:r w:rsidR="00E32265" w:rsidRPr="00E32265">
        <w:rPr>
          <w:rFonts w:ascii="Arial" w:eastAsia="Calibri" w:hAnsi="Arial" w:cs="Arial"/>
          <w:bCs/>
          <w:iCs/>
          <w:sz w:val="24"/>
          <w:szCs w:val="24"/>
        </w:rPr>
        <w:t>he Botswana Communications Regulatory Authority (BOCRA) established the Universal Access and Service Fund (UASF)</w:t>
      </w:r>
      <w:r w:rsidR="00FD540F">
        <w:rPr>
          <w:rFonts w:ascii="Arial" w:eastAsia="Calibri" w:hAnsi="Arial" w:cs="Arial"/>
          <w:bCs/>
          <w:iCs/>
          <w:sz w:val="24"/>
          <w:szCs w:val="24"/>
        </w:rPr>
        <w:t>,</w:t>
      </w:r>
      <w:r w:rsidR="00E32265" w:rsidRPr="00E32265">
        <w:rPr>
          <w:rFonts w:ascii="Arial" w:eastAsia="Calibri" w:hAnsi="Arial" w:cs="Arial"/>
          <w:bCs/>
          <w:iCs/>
          <w:sz w:val="24"/>
          <w:szCs w:val="24"/>
        </w:rPr>
        <w:t xml:space="preserve"> for universal access to communications services in 2014. One of the three key areas identified through UASF is the Schools Connectivity </w:t>
      </w:r>
      <w:proofErr w:type="spellStart"/>
      <w:r w:rsidR="00E32265" w:rsidRPr="00E32265">
        <w:rPr>
          <w:rFonts w:ascii="Arial" w:eastAsia="Calibri" w:hAnsi="Arial" w:cs="Arial"/>
          <w:bCs/>
          <w:iCs/>
          <w:sz w:val="24"/>
          <w:szCs w:val="24"/>
        </w:rPr>
        <w:t>programme</w:t>
      </w:r>
      <w:proofErr w:type="spellEnd"/>
      <w:r w:rsidR="00E32265" w:rsidRPr="00E32265">
        <w:rPr>
          <w:rFonts w:ascii="Arial" w:eastAsia="Calibri" w:hAnsi="Arial" w:cs="Arial"/>
          <w:bCs/>
          <w:iCs/>
          <w:sz w:val="24"/>
          <w:szCs w:val="24"/>
        </w:rPr>
        <w:t xml:space="preserve"> which facilitates the rollout of communications services to all communities in underserved and unserved areas. The Schools Connectivity project is a collaboration between the Ministry of Transport and Communications through BOCRA/UASF, Ministry of Basic Education (</w:t>
      </w:r>
      <w:proofErr w:type="spellStart"/>
      <w:r w:rsidR="00E32265" w:rsidRPr="00E32265">
        <w:rPr>
          <w:rFonts w:ascii="Arial" w:eastAsia="Calibri" w:hAnsi="Arial" w:cs="Arial"/>
          <w:bCs/>
          <w:iCs/>
          <w:sz w:val="24"/>
          <w:szCs w:val="24"/>
        </w:rPr>
        <w:t>MoBE</w:t>
      </w:r>
      <w:proofErr w:type="spellEnd"/>
      <w:r w:rsidR="00E32265" w:rsidRPr="00E32265">
        <w:rPr>
          <w:rFonts w:ascii="Arial" w:eastAsia="Calibri" w:hAnsi="Arial" w:cs="Arial"/>
          <w:bCs/>
          <w:iCs/>
          <w:sz w:val="24"/>
          <w:szCs w:val="24"/>
        </w:rPr>
        <w:t>) and Ministry of Local Government and Rural Development. </w:t>
      </w:r>
    </w:p>
    <w:p w:rsidR="00E32265" w:rsidRDefault="00E32265" w:rsidP="00863D92">
      <w:pPr>
        <w:spacing w:after="160" w:line="360" w:lineRule="auto"/>
        <w:jc w:val="both"/>
        <w:rPr>
          <w:rFonts w:ascii="Arial" w:eastAsia="Calibri" w:hAnsi="Arial" w:cs="Arial"/>
          <w:bCs/>
          <w:iCs/>
          <w:sz w:val="24"/>
          <w:szCs w:val="24"/>
        </w:rPr>
      </w:pPr>
      <w:r w:rsidRPr="00E32265">
        <w:rPr>
          <w:rFonts w:ascii="Arial" w:eastAsia="Calibri" w:hAnsi="Arial" w:cs="Arial"/>
          <w:bCs/>
          <w:iCs/>
          <w:sz w:val="24"/>
          <w:szCs w:val="24"/>
        </w:rPr>
        <w:t xml:space="preserve">The UASF initiative provides a Local Area Network with 5 Mbps dedicated internet; a multi-purpose network printer, fifty (50) educational tablets for pupils at each targeted primary school and an ICT officer employed by BOCRA. In 2018, at least 68 schools in remote settlements </w:t>
      </w:r>
      <w:r w:rsidR="00B404AC">
        <w:rPr>
          <w:rFonts w:ascii="Arial" w:eastAsia="Calibri" w:hAnsi="Arial" w:cs="Arial"/>
          <w:bCs/>
          <w:iCs/>
          <w:sz w:val="24"/>
          <w:szCs w:val="24"/>
        </w:rPr>
        <w:t>received</w:t>
      </w:r>
      <w:r w:rsidRPr="00E32265">
        <w:rPr>
          <w:rFonts w:ascii="Arial" w:eastAsia="Calibri" w:hAnsi="Arial" w:cs="Arial"/>
          <w:bCs/>
          <w:iCs/>
          <w:sz w:val="24"/>
          <w:szCs w:val="24"/>
        </w:rPr>
        <w:t xml:space="preserve"> suppor</w:t>
      </w:r>
      <w:r w:rsidR="00B404AC">
        <w:rPr>
          <w:rFonts w:ascii="Arial" w:eastAsia="Calibri" w:hAnsi="Arial" w:cs="Arial"/>
          <w:bCs/>
          <w:iCs/>
          <w:sz w:val="24"/>
          <w:szCs w:val="24"/>
        </w:rPr>
        <w:t>t</w:t>
      </w:r>
      <w:r w:rsidRPr="00E32265">
        <w:rPr>
          <w:rFonts w:ascii="Arial" w:eastAsia="Calibri" w:hAnsi="Arial" w:cs="Arial"/>
          <w:bCs/>
          <w:iCs/>
          <w:sz w:val="24"/>
          <w:szCs w:val="24"/>
        </w:rPr>
        <w:t xml:space="preserve"> </w:t>
      </w:r>
      <w:r w:rsidR="00B404AC">
        <w:rPr>
          <w:rFonts w:ascii="Arial" w:eastAsia="Calibri" w:hAnsi="Arial" w:cs="Arial"/>
          <w:bCs/>
          <w:iCs/>
          <w:sz w:val="24"/>
          <w:szCs w:val="24"/>
        </w:rPr>
        <w:t>from</w:t>
      </w:r>
      <w:r w:rsidRPr="00E32265">
        <w:rPr>
          <w:rFonts w:ascii="Arial" w:eastAsia="Calibri" w:hAnsi="Arial" w:cs="Arial"/>
          <w:bCs/>
          <w:iCs/>
          <w:sz w:val="24"/>
          <w:szCs w:val="24"/>
        </w:rPr>
        <w:t xml:space="preserve"> the UASF. The ICT officers also facilitat</w:t>
      </w:r>
      <w:r w:rsidR="00FD540F">
        <w:rPr>
          <w:rFonts w:ascii="Arial" w:eastAsia="Calibri" w:hAnsi="Arial" w:cs="Arial"/>
          <w:bCs/>
          <w:iCs/>
          <w:sz w:val="24"/>
          <w:szCs w:val="24"/>
        </w:rPr>
        <w:t>ed</w:t>
      </w:r>
      <w:r w:rsidRPr="00E32265">
        <w:rPr>
          <w:rFonts w:ascii="Arial" w:eastAsia="Calibri" w:hAnsi="Arial" w:cs="Arial"/>
          <w:bCs/>
          <w:iCs/>
          <w:sz w:val="24"/>
          <w:szCs w:val="24"/>
        </w:rPr>
        <w:t xml:space="preserve"> teachers, pupils and communities (including pre</w:t>
      </w:r>
      <w:r w:rsidR="00FD540F">
        <w:rPr>
          <w:rFonts w:ascii="Arial" w:eastAsia="Calibri" w:hAnsi="Arial" w:cs="Arial"/>
          <w:bCs/>
          <w:iCs/>
          <w:sz w:val="24"/>
          <w:szCs w:val="24"/>
        </w:rPr>
        <w:t>-</w:t>
      </w:r>
      <w:r w:rsidRPr="00E32265">
        <w:rPr>
          <w:rFonts w:ascii="Arial" w:eastAsia="Calibri" w:hAnsi="Arial" w:cs="Arial"/>
          <w:bCs/>
          <w:iCs/>
          <w:sz w:val="24"/>
          <w:szCs w:val="24"/>
        </w:rPr>
        <w:t xml:space="preserve">schools) to take full advantage of the opportunities and benefits that come with access to broadband Internet and other ICT services. This initiative has improved school attendance among the learners in the rural settlements. </w:t>
      </w:r>
    </w:p>
    <w:p w:rsidR="00E05389" w:rsidRPr="00E32265" w:rsidRDefault="00B404AC" w:rsidP="00863D92">
      <w:pPr>
        <w:spacing w:after="160" w:line="360" w:lineRule="auto"/>
        <w:jc w:val="both"/>
        <w:rPr>
          <w:rFonts w:ascii="Arial" w:eastAsia="Times New Roman" w:hAnsi="Arial" w:cs="Arial"/>
          <w:bCs/>
          <w:sz w:val="24"/>
          <w:szCs w:val="24"/>
        </w:rPr>
      </w:pPr>
      <w:r>
        <w:rPr>
          <w:rFonts w:ascii="Arial" w:eastAsia="Times New Roman" w:hAnsi="Arial" w:cs="Arial"/>
          <w:bCs/>
          <w:sz w:val="24"/>
          <w:szCs w:val="24"/>
        </w:rPr>
        <w:t>T</w:t>
      </w:r>
      <w:r w:rsidR="00E05389" w:rsidRPr="00E05389">
        <w:rPr>
          <w:rFonts w:ascii="Arial" w:eastAsia="Times New Roman" w:hAnsi="Arial" w:cs="Arial"/>
          <w:bCs/>
          <w:sz w:val="24"/>
          <w:szCs w:val="24"/>
        </w:rPr>
        <w:t>he Education, Science and Techn</w:t>
      </w:r>
      <w:r>
        <w:rPr>
          <w:rFonts w:ascii="Arial" w:eastAsia="Times New Roman" w:hAnsi="Arial" w:cs="Arial"/>
          <w:bCs/>
          <w:sz w:val="24"/>
          <w:szCs w:val="24"/>
        </w:rPr>
        <w:t>ology sectors are complementary</w:t>
      </w:r>
      <w:r w:rsidR="00E05389" w:rsidRPr="00E05389">
        <w:rPr>
          <w:rFonts w:ascii="Arial" w:eastAsia="Times New Roman" w:hAnsi="Arial" w:cs="Arial"/>
          <w:bCs/>
          <w:sz w:val="24"/>
          <w:szCs w:val="24"/>
        </w:rPr>
        <w:t xml:space="preserve"> and should effectively drive Africa’s social and economic deve</w:t>
      </w:r>
      <w:r w:rsidR="00FD540F">
        <w:rPr>
          <w:rFonts w:ascii="Arial" w:eastAsia="Times New Roman" w:hAnsi="Arial" w:cs="Arial"/>
          <w:bCs/>
          <w:sz w:val="24"/>
          <w:szCs w:val="24"/>
        </w:rPr>
        <w:t>lopment and</w:t>
      </w:r>
      <w:r w:rsidR="00E05389" w:rsidRPr="00E05389">
        <w:rPr>
          <w:rFonts w:ascii="Arial" w:eastAsia="Times New Roman" w:hAnsi="Arial" w:cs="Arial"/>
          <w:bCs/>
          <w:sz w:val="24"/>
          <w:szCs w:val="24"/>
        </w:rPr>
        <w:t xml:space="preserve"> fast-track the transition of African countries to innovation-led, knowledge-based economies</w:t>
      </w:r>
      <w:r w:rsidR="00FD540F">
        <w:rPr>
          <w:rFonts w:ascii="Arial" w:eastAsia="Times New Roman" w:hAnsi="Arial" w:cs="Arial"/>
          <w:bCs/>
          <w:sz w:val="24"/>
          <w:szCs w:val="24"/>
        </w:rPr>
        <w:t xml:space="preserve"> </w:t>
      </w:r>
      <w:proofErr w:type="gramStart"/>
      <w:r w:rsidR="00FD540F">
        <w:rPr>
          <w:rFonts w:ascii="Arial" w:eastAsia="Times New Roman" w:hAnsi="Arial" w:cs="Arial"/>
          <w:bCs/>
          <w:sz w:val="24"/>
          <w:szCs w:val="24"/>
        </w:rPr>
        <w:t>so as to</w:t>
      </w:r>
      <w:proofErr w:type="gramEnd"/>
      <w:r w:rsidR="00FD540F">
        <w:rPr>
          <w:rFonts w:ascii="Arial" w:eastAsia="Times New Roman" w:hAnsi="Arial" w:cs="Arial"/>
          <w:bCs/>
          <w:sz w:val="24"/>
          <w:szCs w:val="24"/>
        </w:rPr>
        <w:t xml:space="preserve"> benefit from the 4</w:t>
      </w:r>
      <w:r w:rsidR="00FD540F" w:rsidRPr="007A199D">
        <w:rPr>
          <w:rFonts w:ascii="Arial" w:eastAsia="Times New Roman" w:hAnsi="Arial" w:cs="Arial"/>
          <w:bCs/>
          <w:sz w:val="24"/>
          <w:szCs w:val="24"/>
          <w:vertAlign w:val="superscript"/>
        </w:rPr>
        <w:t>th</w:t>
      </w:r>
      <w:r w:rsidR="00FD540F">
        <w:rPr>
          <w:rFonts w:ascii="Arial" w:eastAsia="Times New Roman" w:hAnsi="Arial" w:cs="Arial"/>
          <w:bCs/>
          <w:sz w:val="24"/>
          <w:szCs w:val="24"/>
        </w:rPr>
        <w:t xml:space="preserve"> Industrial Revolution.</w:t>
      </w:r>
    </w:p>
    <w:p w:rsidR="00D55A5F" w:rsidRPr="007826B5" w:rsidRDefault="00D55A5F" w:rsidP="007826B5">
      <w:pPr>
        <w:autoSpaceDE w:val="0"/>
        <w:autoSpaceDN w:val="0"/>
        <w:adjustRightInd w:val="0"/>
        <w:spacing w:after="0" w:line="360" w:lineRule="auto"/>
        <w:jc w:val="both"/>
        <w:rPr>
          <w:rFonts w:ascii="Arial" w:hAnsi="Arial" w:cs="Arial"/>
          <w:sz w:val="24"/>
          <w:szCs w:val="24"/>
        </w:rPr>
      </w:pPr>
    </w:p>
    <w:p w:rsidR="00D55A5F" w:rsidRPr="007A199D" w:rsidRDefault="00133510" w:rsidP="007826B5">
      <w:pPr>
        <w:pStyle w:val="Heading2"/>
        <w:spacing w:line="360" w:lineRule="auto"/>
        <w:rPr>
          <w:rFonts w:ascii="Arial" w:hAnsi="Arial" w:cs="Arial"/>
          <w:b/>
          <w:color w:val="0D0D0D" w:themeColor="text1" w:themeTint="F2"/>
          <w:sz w:val="28"/>
          <w:szCs w:val="28"/>
        </w:rPr>
      </w:pPr>
      <w:r w:rsidRPr="007A199D">
        <w:rPr>
          <w:rFonts w:ascii="Arial" w:hAnsi="Arial" w:cs="Arial"/>
          <w:b/>
          <w:color w:val="0D0D0D" w:themeColor="text1" w:themeTint="F2"/>
          <w:sz w:val="28"/>
          <w:szCs w:val="28"/>
        </w:rPr>
        <w:lastRenderedPageBreak/>
        <w:t xml:space="preserve">3.3 </w:t>
      </w:r>
      <w:r w:rsidR="00D55A5F" w:rsidRPr="007A199D">
        <w:rPr>
          <w:rFonts w:ascii="Arial" w:hAnsi="Arial" w:cs="Arial"/>
          <w:b/>
          <w:color w:val="0D0D0D" w:themeColor="text1" w:themeTint="F2"/>
          <w:sz w:val="28"/>
          <w:szCs w:val="28"/>
        </w:rPr>
        <w:t>Goal 3</w:t>
      </w:r>
      <w:r w:rsidR="0060407A" w:rsidRPr="007A199D">
        <w:rPr>
          <w:rFonts w:ascii="Arial" w:hAnsi="Arial" w:cs="Arial"/>
          <w:b/>
          <w:color w:val="0D0D0D" w:themeColor="text1" w:themeTint="F2"/>
          <w:sz w:val="28"/>
          <w:szCs w:val="28"/>
        </w:rPr>
        <w:t xml:space="preserve">: </w:t>
      </w:r>
      <w:r w:rsidR="00D55A5F" w:rsidRPr="007A199D">
        <w:rPr>
          <w:rFonts w:ascii="Arial" w:hAnsi="Arial" w:cs="Arial"/>
          <w:b/>
          <w:color w:val="0D0D0D" w:themeColor="text1" w:themeTint="F2"/>
          <w:sz w:val="28"/>
          <w:szCs w:val="28"/>
        </w:rPr>
        <w:t xml:space="preserve"> Healthy and Well-nourished Citizens</w:t>
      </w:r>
    </w:p>
    <w:p w:rsidR="001E02D0" w:rsidRPr="007A199D" w:rsidRDefault="001E02D0" w:rsidP="00EE4BDD">
      <w:pPr>
        <w:spacing w:after="0" w:line="360" w:lineRule="auto"/>
        <w:jc w:val="both"/>
        <w:rPr>
          <w:rFonts w:ascii="Arial" w:eastAsia="Times New Roman" w:hAnsi="Arial" w:cs="Arial"/>
          <w:b/>
          <w:sz w:val="24"/>
          <w:szCs w:val="24"/>
          <w:lang w:val="en-GB"/>
        </w:rPr>
      </w:pPr>
      <w:bookmarkStart w:id="1" w:name="_Toc19018448"/>
      <w:r w:rsidRPr="007A199D">
        <w:rPr>
          <w:rFonts w:ascii="Arial" w:eastAsia="Times New Roman" w:hAnsi="Arial" w:cs="Arial"/>
          <w:b/>
          <w:sz w:val="24"/>
          <w:szCs w:val="24"/>
          <w:lang w:val="en-GB"/>
        </w:rPr>
        <w:t>3.3.1 Overall Progress</w:t>
      </w:r>
    </w:p>
    <w:p w:rsidR="00EE4BDD" w:rsidRPr="00EE4BDD" w:rsidRDefault="001E02D0" w:rsidP="00EE4BDD">
      <w:pPr>
        <w:spacing w:after="0" w:line="360" w:lineRule="auto"/>
        <w:jc w:val="both"/>
        <w:rPr>
          <w:rFonts w:ascii="Arial" w:eastAsia="Times New Roman" w:hAnsi="Arial" w:cs="Arial"/>
          <w:sz w:val="24"/>
          <w:szCs w:val="24"/>
        </w:rPr>
      </w:pPr>
      <w:r>
        <w:rPr>
          <w:rFonts w:ascii="Arial" w:eastAsia="Times New Roman" w:hAnsi="Arial" w:cs="Arial"/>
          <w:sz w:val="24"/>
          <w:szCs w:val="24"/>
          <w:lang w:val="en-GB"/>
        </w:rPr>
        <w:t>T</w:t>
      </w:r>
      <w:r w:rsidR="00EE4BDD" w:rsidRPr="00EE4BDD">
        <w:rPr>
          <w:rFonts w:ascii="Arial" w:eastAsia="Times New Roman" w:hAnsi="Arial" w:cs="Arial"/>
          <w:sz w:val="24"/>
          <w:szCs w:val="24"/>
          <w:lang w:val="en-GB"/>
        </w:rPr>
        <w:t xml:space="preserve">he health care service in Botswana is delivered </w:t>
      </w:r>
      <w:r w:rsidR="00B404AC">
        <w:rPr>
          <w:rFonts w:ascii="Arial" w:eastAsia="Times New Roman" w:hAnsi="Arial" w:cs="Arial"/>
          <w:sz w:val="24"/>
          <w:szCs w:val="24"/>
          <w:lang w:val="en-GB"/>
        </w:rPr>
        <w:t xml:space="preserve">by </w:t>
      </w:r>
      <w:r w:rsidR="00EE4BDD" w:rsidRPr="00EE4BDD">
        <w:rPr>
          <w:rFonts w:ascii="Arial" w:eastAsia="Times New Roman" w:hAnsi="Arial" w:cs="Arial"/>
          <w:sz w:val="24"/>
          <w:szCs w:val="24"/>
          <w:lang w:val="en-GB"/>
        </w:rPr>
        <w:t>state-owned, private for-profit and private non-profit medical facilities</w:t>
      </w:r>
      <w:r w:rsidR="00B404AC">
        <w:rPr>
          <w:rFonts w:ascii="Arial" w:eastAsia="Times New Roman" w:hAnsi="Arial" w:cs="Arial"/>
          <w:sz w:val="24"/>
          <w:szCs w:val="24"/>
          <w:lang w:val="en-GB"/>
        </w:rPr>
        <w:t>, as well as the dominant</w:t>
      </w:r>
      <w:r w:rsidR="00EE4BDD" w:rsidRPr="00EE4BDD">
        <w:rPr>
          <w:rFonts w:ascii="Arial" w:eastAsia="Times New Roman" w:hAnsi="Arial" w:cs="Arial"/>
          <w:sz w:val="24"/>
          <w:szCs w:val="24"/>
          <w:lang w:val="en-GB"/>
        </w:rPr>
        <w:t xml:space="preserve"> public sector </w:t>
      </w:r>
      <w:r w:rsidR="00D52A5A">
        <w:rPr>
          <w:rFonts w:ascii="Arial" w:eastAsia="Times New Roman" w:hAnsi="Arial" w:cs="Arial"/>
          <w:sz w:val="24"/>
          <w:szCs w:val="24"/>
          <w:lang w:val="en-GB"/>
        </w:rPr>
        <w:t>that</w:t>
      </w:r>
      <w:r w:rsidR="00EE4BDD" w:rsidRPr="00EE4BDD">
        <w:rPr>
          <w:rFonts w:ascii="Arial" w:eastAsia="Times New Roman" w:hAnsi="Arial" w:cs="Arial"/>
          <w:sz w:val="24"/>
          <w:szCs w:val="24"/>
          <w:lang w:val="en-GB"/>
        </w:rPr>
        <w:t xml:space="preserve"> </w:t>
      </w:r>
      <w:r w:rsidR="00D52A5A" w:rsidRPr="00EE4BDD">
        <w:rPr>
          <w:rFonts w:ascii="Arial" w:eastAsia="Times New Roman" w:hAnsi="Arial" w:cs="Arial"/>
          <w:sz w:val="24"/>
          <w:szCs w:val="24"/>
          <w:lang w:val="en-GB"/>
        </w:rPr>
        <w:t>operat</w:t>
      </w:r>
      <w:r w:rsidR="00D52A5A">
        <w:rPr>
          <w:rFonts w:ascii="Arial" w:eastAsia="Times New Roman" w:hAnsi="Arial" w:cs="Arial"/>
          <w:sz w:val="24"/>
          <w:szCs w:val="24"/>
          <w:lang w:val="en-GB"/>
        </w:rPr>
        <w:t>es</w:t>
      </w:r>
      <w:r w:rsidR="00D52A5A" w:rsidRPr="00EE4BDD">
        <w:rPr>
          <w:rFonts w:ascii="Arial" w:eastAsia="Times New Roman" w:hAnsi="Arial" w:cs="Arial"/>
          <w:sz w:val="24"/>
          <w:szCs w:val="24"/>
          <w:lang w:val="en-GB"/>
        </w:rPr>
        <w:t xml:space="preserve"> </w:t>
      </w:r>
      <w:r w:rsidR="00EE4BDD" w:rsidRPr="00EE4BDD">
        <w:rPr>
          <w:rFonts w:ascii="Arial" w:eastAsia="Times New Roman" w:hAnsi="Arial" w:cs="Arial"/>
          <w:sz w:val="24"/>
          <w:szCs w:val="24"/>
          <w:lang w:val="en-GB"/>
        </w:rPr>
        <w:t>98% of the health facilities</w:t>
      </w:r>
      <w:r w:rsidR="00EE4BDD" w:rsidRPr="00EE4BDD">
        <w:rPr>
          <w:rFonts w:ascii="Arial" w:eastAsia="Times New Roman" w:hAnsi="Arial" w:cs="Arial"/>
          <w:sz w:val="24"/>
          <w:szCs w:val="24"/>
          <w:vertAlign w:val="superscript"/>
          <w:lang w:val="en-GB"/>
        </w:rPr>
        <w:footnoteReference w:id="3"/>
      </w:r>
      <w:r w:rsidR="00EE4BDD" w:rsidRPr="00EE4BDD">
        <w:rPr>
          <w:rFonts w:ascii="Arial" w:eastAsia="Times New Roman" w:hAnsi="Arial" w:cs="Arial"/>
          <w:sz w:val="24"/>
          <w:szCs w:val="24"/>
          <w:lang w:val="en-GB"/>
        </w:rPr>
        <w:t xml:space="preserve">. </w:t>
      </w:r>
      <w:r w:rsidR="00EE4BDD" w:rsidRPr="00EE4BDD">
        <w:rPr>
          <w:rFonts w:ascii="Arial" w:eastAsia="Times New Roman" w:hAnsi="Arial" w:cs="Arial"/>
          <w:sz w:val="24"/>
          <w:szCs w:val="24"/>
        </w:rPr>
        <w:t>The health care delivery system is based on the primary health care model which is decentralized to the district l</w:t>
      </w:r>
      <w:r w:rsidR="00F01B14">
        <w:rPr>
          <w:rFonts w:ascii="Arial" w:eastAsia="Times New Roman" w:hAnsi="Arial" w:cs="Arial"/>
          <w:sz w:val="24"/>
          <w:szCs w:val="24"/>
        </w:rPr>
        <w:t xml:space="preserve">evel. The </w:t>
      </w:r>
      <w:r w:rsidR="00EE4BDD" w:rsidRPr="00EE4BDD">
        <w:rPr>
          <w:rFonts w:ascii="Arial" w:eastAsia="Times New Roman" w:hAnsi="Arial" w:cs="Arial"/>
          <w:sz w:val="24"/>
          <w:szCs w:val="24"/>
        </w:rPr>
        <w:t xml:space="preserve">services are delivered </w:t>
      </w:r>
      <w:r w:rsidR="00F01B14">
        <w:rPr>
          <w:rFonts w:ascii="Arial" w:eastAsia="Times New Roman" w:hAnsi="Arial" w:cs="Arial"/>
          <w:sz w:val="24"/>
          <w:szCs w:val="24"/>
        </w:rPr>
        <w:t xml:space="preserve">free </w:t>
      </w:r>
      <w:r w:rsidR="00EE4BDD" w:rsidRPr="00EE4BDD">
        <w:rPr>
          <w:rFonts w:ascii="Arial" w:eastAsia="Times New Roman" w:hAnsi="Arial" w:cs="Arial"/>
          <w:sz w:val="24"/>
          <w:szCs w:val="24"/>
        </w:rPr>
        <w:t>to</w:t>
      </w:r>
      <w:r w:rsidR="00EE4BDD" w:rsidRPr="00EE4BDD">
        <w:rPr>
          <w:rFonts w:ascii="Arial" w:eastAsia="Times New Roman" w:hAnsi="Arial" w:cs="Arial"/>
          <w:sz w:val="24"/>
          <w:szCs w:val="24"/>
          <w:lang w:val="en-GB"/>
        </w:rPr>
        <w:t xml:space="preserve"> Batswana </w:t>
      </w:r>
      <w:r w:rsidR="00EE4BDD" w:rsidRPr="00EE4BDD">
        <w:rPr>
          <w:rFonts w:ascii="Arial" w:eastAsia="Times New Roman" w:hAnsi="Arial" w:cs="Arial"/>
          <w:sz w:val="24"/>
          <w:szCs w:val="24"/>
        </w:rPr>
        <w:t>through a network of public health facilities, ranging from referral hospitals to district and primary hospitals, clinics, health posts and mobile services.</w:t>
      </w:r>
      <w:bookmarkEnd w:id="1"/>
      <w:r w:rsidR="00EE4BDD" w:rsidRPr="00EE4BDD">
        <w:rPr>
          <w:rFonts w:ascii="Arial" w:eastAsia="Times New Roman" w:hAnsi="Arial" w:cs="Arial"/>
          <w:sz w:val="24"/>
          <w:szCs w:val="24"/>
        </w:rPr>
        <w:t xml:space="preserve"> Botswana has a total of 26 public hospitals (16 primary hospitals, 7 district hospitals and 3 referral hospitals) widely distributed across the country.</w:t>
      </w:r>
    </w:p>
    <w:p w:rsidR="00F01B14" w:rsidRDefault="00F01B14" w:rsidP="00EE4BDD">
      <w:pPr>
        <w:autoSpaceDE w:val="0"/>
        <w:autoSpaceDN w:val="0"/>
        <w:adjustRightInd w:val="0"/>
        <w:spacing w:after="0" w:line="360" w:lineRule="auto"/>
        <w:jc w:val="both"/>
        <w:rPr>
          <w:rFonts w:ascii="Arial" w:eastAsia="Times New Roman" w:hAnsi="Arial" w:cs="Arial"/>
          <w:bCs/>
          <w:sz w:val="24"/>
          <w:szCs w:val="24"/>
        </w:rPr>
      </w:pPr>
    </w:p>
    <w:p w:rsidR="00EE4BDD" w:rsidRDefault="00EE4BDD" w:rsidP="00EE4BDD">
      <w:pPr>
        <w:autoSpaceDE w:val="0"/>
        <w:autoSpaceDN w:val="0"/>
        <w:adjustRightInd w:val="0"/>
        <w:spacing w:after="0" w:line="360" w:lineRule="auto"/>
        <w:jc w:val="both"/>
        <w:rPr>
          <w:rFonts w:ascii="Arial" w:hAnsi="Arial" w:cs="Arial"/>
          <w:sz w:val="24"/>
          <w:szCs w:val="24"/>
        </w:rPr>
      </w:pPr>
      <w:r w:rsidRPr="00EE4BDD">
        <w:rPr>
          <w:rFonts w:ascii="Arial" w:eastAsia="Times New Roman" w:hAnsi="Arial" w:cs="Arial"/>
          <w:bCs/>
          <w:sz w:val="24"/>
          <w:szCs w:val="24"/>
        </w:rPr>
        <w:t>Botswana is committed to ensuring healthy lives and promotion of well-being for all at all ages as embraced in the human and social development second pillar of Vision 2036. The goal can be achieved given that the government has invested in health facilities that provide access to health services within the WHO recommended radius</w:t>
      </w:r>
      <w:r w:rsidR="00FD540F">
        <w:rPr>
          <w:rFonts w:ascii="Arial" w:eastAsia="Times New Roman" w:hAnsi="Arial" w:cs="Arial"/>
          <w:bCs/>
          <w:sz w:val="24"/>
          <w:szCs w:val="24"/>
        </w:rPr>
        <w:t>,</w:t>
      </w:r>
      <w:r w:rsidRPr="00EE4BDD">
        <w:rPr>
          <w:rFonts w:ascii="Arial" w:eastAsia="Times New Roman" w:hAnsi="Arial" w:cs="Arial"/>
          <w:bCs/>
          <w:sz w:val="24"/>
          <w:szCs w:val="24"/>
        </w:rPr>
        <w:t xml:space="preserve"> countrywide</w:t>
      </w:r>
      <w:r w:rsidRPr="00EE4BDD">
        <w:rPr>
          <w:rFonts w:ascii="Times New Roman" w:eastAsia="Times New Roman" w:hAnsi="Times New Roman" w:cs="Times New Roman"/>
          <w:bCs/>
          <w:sz w:val="24"/>
          <w:szCs w:val="24"/>
        </w:rPr>
        <w:t>.</w:t>
      </w:r>
    </w:p>
    <w:p w:rsidR="00EE4BDD" w:rsidRDefault="00EE4BDD" w:rsidP="007826B5">
      <w:pPr>
        <w:autoSpaceDE w:val="0"/>
        <w:autoSpaceDN w:val="0"/>
        <w:adjustRightInd w:val="0"/>
        <w:spacing w:after="0" w:line="360" w:lineRule="auto"/>
        <w:jc w:val="both"/>
        <w:rPr>
          <w:rFonts w:ascii="Arial" w:hAnsi="Arial" w:cs="Arial"/>
          <w:sz w:val="24"/>
          <w:szCs w:val="24"/>
        </w:rPr>
      </w:pPr>
    </w:p>
    <w:p w:rsidR="00EE4BDD" w:rsidRPr="00EE4BDD" w:rsidRDefault="00EE4BDD" w:rsidP="00EE4BDD">
      <w:pPr>
        <w:spacing w:after="0" w:line="360" w:lineRule="auto"/>
        <w:jc w:val="both"/>
        <w:rPr>
          <w:rFonts w:ascii="Arial" w:eastAsia="Calibri" w:hAnsi="Arial" w:cs="Arial"/>
          <w:bCs/>
          <w:sz w:val="24"/>
          <w:szCs w:val="24"/>
          <w:lang w:eastAsia="en-GB"/>
        </w:rPr>
      </w:pPr>
      <w:r>
        <w:rPr>
          <w:rFonts w:ascii="Arial" w:eastAsia="Calibri" w:hAnsi="Arial" w:cs="Arial"/>
          <w:bCs/>
          <w:sz w:val="24"/>
          <w:szCs w:val="24"/>
          <w:lang w:eastAsia="en-GB"/>
        </w:rPr>
        <w:t xml:space="preserve">Available </w:t>
      </w:r>
      <w:r w:rsidRPr="00EE4BDD">
        <w:rPr>
          <w:rFonts w:ascii="Arial" w:eastAsia="Calibri" w:hAnsi="Arial" w:cs="Arial"/>
          <w:bCs/>
          <w:sz w:val="24"/>
          <w:szCs w:val="24"/>
          <w:lang w:eastAsia="en-GB"/>
        </w:rPr>
        <w:t>data indicates that the maternal mortality ratio decreased to 143.2 per 100 000 live births in 2017 from 156.6 per 1,000 live births in 2016</w:t>
      </w:r>
      <w:r w:rsidR="00FD540F">
        <w:rPr>
          <w:rFonts w:ascii="Arial" w:eastAsia="Calibri" w:hAnsi="Arial" w:cs="Arial"/>
          <w:bCs/>
          <w:sz w:val="24"/>
          <w:szCs w:val="24"/>
          <w:lang w:eastAsia="en-GB"/>
        </w:rPr>
        <w:t xml:space="preserve"> and </w:t>
      </w:r>
      <w:r w:rsidR="00FD540F" w:rsidRPr="00EE4BDD">
        <w:rPr>
          <w:rFonts w:ascii="Arial" w:eastAsia="Calibri" w:hAnsi="Arial" w:cs="Arial"/>
          <w:bCs/>
          <w:sz w:val="24"/>
          <w:szCs w:val="24"/>
          <w:lang w:eastAsia="en-GB"/>
        </w:rPr>
        <w:t>95%</w:t>
      </w:r>
      <w:r w:rsidRPr="00EE4BDD">
        <w:rPr>
          <w:rFonts w:ascii="Arial" w:eastAsia="Calibri" w:hAnsi="Arial" w:cs="Arial"/>
          <w:bCs/>
        </w:rPr>
        <w:t xml:space="preserve"> </w:t>
      </w:r>
      <w:r w:rsidRPr="00EE4BDD">
        <w:rPr>
          <w:rFonts w:ascii="Arial" w:eastAsia="Calibri" w:hAnsi="Arial" w:cs="Arial"/>
          <w:bCs/>
          <w:sz w:val="24"/>
          <w:szCs w:val="24"/>
          <w:lang w:eastAsia="en-GB"/>
        </w:rPr>
        <w:t xml:space="preserve">births </w:t>
      </w:r>
      <w:r w:rsidR="00FD540F">
        <w:rPr>
          <w:rFonts w:ascii="Arial" w:eastAsia="Calibri" w:hAnsi="Arial" w:cs="Arial"/>
          <w:bCs/>
          <w:sz w:val="24"/>
          <w:szCs w:val="24"/>
          <w:lang w:eastAsia="en-GB"/>
        </w:rPr>
        <w:t xml:space="preserve">were </w:t>
      </w:r>
      <w:r w:rsidRPr="00EE4BDD">
        <w:rPr>
          <w:rFonts w:ascii="Arial" w:eastAsia="Calibri" w:hAnsi="Arial" w:cs="Arial"/>
          <w:bCs/>
          <w:sz w:val="24"/>
          <w:szCs w:val="24"/>
          <w:lang w:eastAsia="en-GB"/>
        </w:rPr>
        <w:t>attended</w:t>
      </w:r>
      <w:r w:rsidR="001E02D0">
        <w:rPr>
          <w:rFonts w:ascii="Arial" w:eastAsia="Calibri" w:hAnsi="Arial" w:cs="Arial"/>
          <w:bCs/>
          <w:sz w:val="24"/>
          <w:szCs w:val="24"/>
          <w:lang w:eastAsia="en-GB"/>
        </w:rPr>
        <w:t xml:space="preserve"> to,</w:t>
      </w:r>
      <w:r w:rsidRPr="00EE4BDD">
        <w:rPr>
          <w:rFonts w:ascii="Arial" w:eastAsia="Calibri" w:hAnsi="Arial" w:cs="Arial"/>
          <w:bCs/>
          <w:sz w:val="24"/>
          <w:szCs w:val="24"/>
          <w:lang w:eastAsia="en-GB"/>
        </w:rPr>
        <w:t xml:space="preserve"> by skilled health person</w:t>
      </w:r>
      <w:r w:rsidR="00A100AB">
        <w:rPr>
          <w:rFonts w:ascii="Arial" w:eastAsia="Calibri" w:hAnsi="Arial" w:cs="Arial"/>
          <w:bCs/>
          <w:sz w:val="24"/>
          <w:szCs w:val="24"/>
          <w:lang w:eastAsia="en-GB"/>
        </w:rPr>
        <w:t>nel</w:t>
      </w:r>
      <w:r w:rsidRPr="00EE4BDD">
        <w:rPr>
          <w:rFonts w:ascii="Arial" w:eastAsia="Calibri" w:hAnsi="Arial" w:cs="Arial"/>
          <w:bCs/>
          <w:sz w:val="24"/>
          <w:szCs w:val="24"/>
          <w:lang w:eastAsia="en-GB"/>
        </w:rPr>
        <w:t xml:space="preserve"> (BDS, 2017). According to World Data Atlas Botswana Health</w:t>
      </w:r>
      <w:r w:rsidRPr="00EE4BDD">
        <w:rPr>
          <w:rFonts w:ascii="Arial" w:eastAsia="Calibri" w:hAnsi="Arial" w:cs="Arial"/>
          <w:bCs/>
          <w:sz w:val="24"/>
          <w:szCs w:val="24"/>
          <w:vertAlign w:val="superscript"/>
          <w:lang w:eastAsia="en-GB"/>
        </w:rPr>
        <w:footnoteReference w:id="4"/>
      </w:r>
      <w:r w:rsidRPr="00EE4BDD">
        <w:rPr>
          <w:rFonts w:ascii="Arial" w:eastAsia="Calibri" w:hAnsi="Arial" w:cs="Arial"/>
          <w:bCs/>
          <w:sz w:val="24"/>
          <w:szCs w:val="24"/>
          <w:lang w:eastAsia="en-GB"/>
        </w:rPr>
        <w:t>, the neonatal mortality rate (NMR)</w:t>
      </w:r>
      <w:r w:rsidRPr="00EE4BDD">
        <w:rPr>
          <w:rFonts w:ascii="Arial" w:eastAsia="Calibri" w:hAnsi="Arial" w:cs="Arial"/>
          <w:bCs/>
          <w:sz w:val="24"/>
          <w:szCs w:val="24"/>
          <w:vertAlign w:val="superscript"/>
          <w:lang w:eastAsia="en-GB"/>
        </w:rPr>
        <w:footnoteReference w:id="5"/>
      </w:r>
      <w:r w:rsidRPr="00EE4BDD">
        <w:rPr>
          <w:rFonts w:ascii="Arial" w:eastAsia="Calibri" w:hAnsi="Arial" w:cs="Arial"/>
          <w:bCs/>
          <w:sz w:val="24"/>
          <w:szCs w:val="24"/>
          <w:lang w:eastAsia="en-GB"/>
        </w:rPr>
        <w:t xml:space="preserve"> was at level of 24.5 deaths per 1,000 live births in 2018, down from 25.2 deaths per 1,000 live births</w:t>
      </w:r>
      <w:r w:rsidR="00A100AB">
        <w:rPr>
          <w:rFonts w:ascii="Arial" w:eastAsia="Calibri" w:hAnsi="Arial" w:cs="Arial"/>
          <w:bCs/>
          <w:sz w:val="24"/>
          <w:szCs w:val="24"/>
          <w:lang w:eastAsia="en-GB"/>
        </w:rPr>
        <w:t xml:space="preserve"> the</w:t>
      </w:r>
      <w:r w:rsidRPr="00EE4BDD">
        <w:rPr>
          <w:rFonts w:ascii="Arial" w:eastAsia="Calibri" w:hAnsi="Arial" w:cs="Arial"/>
          <w:bCs/>
          <w:sz w:val="24"/>
          <w:szCs w:val="24"/>
          <w:lang w:eastAsia="en-GB"/>
        </w:rPr>
        <w:t xml:space="preserve"> previous year, </w:t>
      </w:r>
      <w:r w:rsidR="00A100AB">
        <w:rPr>
          <w:rFonts w:ascii="Arial" w:eastAsia="Calibri" w:hAnsi="Arial" w:cs="Arial"/>
          <w:bCs/>
          <w:sz w:val="24"/>
          <w:szCs w:val="24"/>
          <w:lang w:eastAsia="en-GB"/>
        </w:rPr>
        <w:t>which reflects</w:t>
      </w:r>
      <w:r w:rsidRPr="00EE4BDD">
        <w:rPr>
          <w:rFonts w:ascii="Arial" w:eastAsia="Calibri" w:hAnsi="Arial" w:cs="Arial"/>
          <w:bCs/>
          <w:sz w:val="24"/>
          <w:szCs w:val="24"/>
          <w:lang w:eastAsia="en-GB"/>
        </w:rPr>
        <w:t xml:space="preserve"> a change of 2.78%. The Infant Mortality Rate (IMR)</w:t>
      </w:r>
      <w:r w:rsidRPr="00EE4BDD">
        <w:rPr>
          <w:rFonts w:ascii="Arial" w:eastAsia="Calibri" w:hAnsi="Arial" w:cs="Arial"/>
          <w:bCs/>
          <w:sz w:val="24"/>
          <w:szCs w:val="24"/>
          <w:vertAlign w:val="superscript"/>
          <w:lang w:eastAsia="en-GB"/>
        </w:rPr>
        <w:footnoteReference w:id="6"/>
      </w:r>
      <w:r w:rsidRPr="00EE4BDD">
        <w:rPr>
          <w:rFonts w:ascii="Arial" w:eastAsia="Calibri" w:hAnsi="Arial" w:cs="Arial"/>
          <w:bCs/>
          <w:sz w:val="24"/>
          <w:szCs w:val="24"/>
          <w:lang w:eastAsia="en-GB"/>
        </w:rPr>
        <w:t xml:space="preserve"> increased from 17 per 1000 live births in the 2011 census compared to 38 per 1,000 live births in 2018, while the Under-Five Mortality Rate (UFMR)</w:t>
      </w:r>
      <w:r w:rsidRPr="0047113B">
        <w:rPr>
          <w:rFonts w:ascii="Arial" w:eastAsia="Calibri" w:hAnsi="Arial" w:cs="Arial"/>
          <w:bCs/>
          <w:sz w:val="24"/>
          <w:szCs w:val="24"/>
          <w:vertAlign w:val="superscript"/>
          <w:lang w:eastAsia="en-GB"/>
        </w:rPr>
        <w:footnoteReference w:id="7"/>
      </w:r>
      <w:r w:rsidRPr="00EE4BDD">
        <w:rPr>
          <w:rFonts w:ascii="Arial" w:eastAsia="Calibri" w:hAnsi="Arial" w:cs="Arial"/>
          <w:bCs/>
          <w:sz w:val="24"/>
          <w:szCs w:val="24"/>
          <w:lang w:eastAsia="en-GB"/>
        </w:rPr>
        <w:t xml:space="preserve"> increased from 28 per 1,000 live births in the 2011 census to 56 per 1,000 live births in 2018 as shown in Figure 3 below. </w:t>
      </w:r>
    </w:p>
    <w:p w:rsidR="00EE4BDD" w:rsidRPr="00EE4BDD" w:rsidRDefault="00EE4BDD" w:rsidP="00EE4BDD">
      <w:pPr>
        <w:spacing w:after="0" w:line="240" w:lineRule="auto"/>
        <w:jc w:val="both"/>
        <w:rPr>
          <w:rFonts w:ascii="Times New Roman" w:eastAsia="Calibri" w:hAnsi="Times New Roman" w:cs="Times New Roman"/>
          <w:bCs/>
          <w:sz w:val="24"/>
          <w:szCs w:val="24"/>
          <w:lang w:eastAsia="en-GB"/>
        </w:rPr>
      </w:pPr>
    </w:p>
    <w:p w:rsidR="00EE4BDD" w:rsidRPr="00EE4BDD" w:rsidRDefault="00EE4BDD" w:rsidP="00EE4BDD">
      <w:pPr>
        <w:spacing w:after="0" w:line="240" w:lineRule="auto"/>
        <w:ind w:left="1440" w:hanging="1380"/>
        <w:jc w:val="both"/>
        <w:rPr>
          <w:rFonts w:ascii="Times New Roman" w:eastAsia="Calibri" w:hAnsi="Times New Roman" w:cs="Times New Roman"/>
          <w:bCs/>
          <w:sz w:val="24"/>
          <w:szCs w:val="24"/>
          <w:lang w:eastAsia="en-GB"/>
        </w:rPr>
      </w:pPr>
      <w:r w:rsidRPr="00EE4BDD">
        <w:rPr>
          <w:rFonts w:ascii="Times New Roman" w:eastAsia="Calibri" w:hAnsi="Times New Roman" w:cs="Times New Roman"/>
          <w:b/>
          <w:bCs/>
          <w:sz w:val="24"/>
          <w:szCs w:val="24"/>
          <w:lang w:eastAsia="en-GB"/>
        </w:rPr>
        <w:lastRenderedPageBreak/>
        <w:t>Figure 3:</w:t>
      </w:r>
      <w:r w:rsidRPr="00EE4BDD">
        <w:rPr>
          <w:rFonts w:ascii="Times New Roman" w:eastAsia="Calibri" w:hAnsi="Times New Roman" w:cs="Times New Roman"/>
          <w:bCs/>
          <w:sz w:val="24"/>
          <w:szCs w:val="24"/>
          <w:lang w:eastAsia="en-GB"/>
        </w:rPr>
        <w:tab/>
        <w:t>Under Five Mortality and Infant Mortality Rates 1971 – 2017 (Statistics Botswana, Botswana Demographic Health Survey -2017)</w:t>
      </w:r>
    </w:p>
    <w:p w:rsidR="00EE4BDD" w:rsidRPr="00EE4BDD" w:rsidRDefault="00EE4BDD" w:rsidP="00EE4BDD">
      <w:pPr>
        <w:spacing w:after="0" w:line="240" w:lineRule="auto"/>
        <w:jc w:val="both"/>
        <w:rPr>
          <w:rFonts w:ascii="Times New Roman" w:eastAsia="Calibri" w:hAnsi="Times New Roman" w:cs="Times New Roman"/>
          <w:bCs/>
          <w:sz w:val="24"/>
          <w:szCs w:val="24"/>
          <w:lang w:eastAsia="en-GB"/>
        </w:rPr>
      </w:pPr>
    </w:p>
    <w:p w:rsidR="00EE4BDD" w:rsidRPr="00EE4BDD" w:rsidRDefault="00EE4BDD" w:rsidP="00EE4BDD">
      <w:pPr>
        <w:spacing w:after="0" w:line="240" w:lineRule="auto"/>
        <w:jc w:val="center"/>
        <w:rPr>
          <w:rFonts w:ascii="Times New Roman" w:eastAsia="Calibri" w:hAnsi="Times New Roman" w:cs="Times New Roman"/>
          <w:bCs/>
          <w:sz w:val="24"/>
          <w:szCs w:val="24"/>
          <w:lang w:eastAsia="en-GB"/>
        </w:rPr>
      </w:pPr>
      <w:r w:rsidRPr="00EE4BDD">
        <w:rPr>
          <w:rFonts w:ascii="Times New Roman" w:eastAsia="Calibri" w:hAnsi="Times New Roman" w:cs="Times New Roman"/>
          <w:noProof/>
          <w:lang w:val="en-ZA" w:eastAsia="en-ZA"/>
        </w:rPr>
        <w:drawing>
          <wp:inline distT="0" distB="0" distL="0" distR="0" wp14:anchorId="76739E9A" wp14:editId="4C986445">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E4BDD" w:rsidRPr="00EE4BDD" w:rsidRDefault="00EE4BDD" w:rsidP="00EE4BDD">
      <w:pPr>
        <w:spacing w:after="0" w:line="240" w:lineRule="auto"/>
        <w:jc w:val="both"/>
        <w:rPr>
          <w:rFonts w:ascii="Times New Roman" w:eastAsia="Calibri" w:hAnsi="Times New Roman" w:cs="Times New Roman"/>
          <w:bCs/>
          <w:sz w:val="24"/>
          <w:szCs w:val="24"/>
          <w:lang w:eastAsia="en-GB"/>
        </w:rPr>
      </w:pPr>
    </w:p>
    <w:p w:rsidR="00EE4BDD" w:rsidRPr="00EE4BDD" w:rsidRDefault="00EE4BDD" w:rsidP="00EE4BDD">
      <w:pPr>
        <w:spacing w:after="0" w:line="240" w:lineRule="auto"/>
        <w:jc w:val="both"/>
        <w:rPr>
          <w:rFonts w:ascii="Times New Roman" w:eastAsia="Calibri" w:hAnsi="Times New Roman" w:cs="Times New Roman"/>
          <w:bCs/>
          <w:i/>
          <w:sz w:val="20"/>
          <w:szCs w:val="24"/>
          <w:lang w:eastAsia="en-GB"/>
        </w:rPr>
      </w:pPr>
      <w:r w:rsidRPr="00EE4BDD">
        <w:rPr>
          <w:rFonts w:ascii="Times New Roman" w:eastAsia="Calibri" w:hAnsi="Times New Roman" w:cs="Times New Roman"/>
          <w:bCs/>
          <w:i/>
          <w:sz w:val="20"/>
          <w:szCs w:val="24"/>
          <w:lang w:eastAsia="en-GB"/>
        </w:rPr>
        <w:t>NB: C is Census and BDS is Botswana Demographic Health Survey</w:t>
      </w:r>
    </w:p>
    <w:p w:rsidR="00EE4BDD" w:rsidRPr="00EE4BDD" w:rsidRDefault="00EE4BDD" w:rsidP="00EE4BDD">
      <w:pPr>
        <w:spacing w:after="0" w:line="240" w:lineRule="auto"/>
        <w:jc w:val="both"/>
        <w:rPr>
          <w:rFonts w:ascii="Times New Roman" w:eastAsia="Calibri" w:hAnsi="Times New Roman" w:cs="Times New Roman"/>
          <w:bCs/>
          <w:sz w:val="24"/>
          <w:szCs w:val="24"/>
          <w:lang w:eastAsia="en-GB"/>
        </w:rPr>
      </w:pPr>
    </w:p>
    <w:p w:rsidR="0047113B" w:rsidRDefault="00EE4BDD" w:rsidP="00EE4BDD">
      <w:pPr>
        <w:spacing w:after="0" w:line="360" w:lineRule="auto"/>
        <w:jc w:val="both"/>
        <w:rPr>
          <w:rFonts w:ascii="Arial" w:eastAsia="Calibri" w:hAnsi="Arial" w:cs="Arial"/>
          <w:bCs/>
          <w:sz w:val="24"/>
          <w:szCs w:val="24"/>
          <w:lang w:eastAsia="en-GB"/>
        </w:rPr>
      </w:pPr>
      <w:r w:rsidRPr="00EE4BDD">
        <w:rPr>
          <w:rFonts w:ascii="Arial" w:eastAsia="Calibri" w:hAnsi="Arial" w:cs="Arial"/>
          <w:bCs/>
          <w:sz w:val="24"/>
          <w:szCs w:val="24"/>
          <w:lang w:eastAsia="en-GB"/>
        </w:rPr>
        <w:t xml:space="preserve">The increase </w:t>
      </w:r>
      <w:r w:rsidR="0047113B">
        <w:rPr>
          <w:rFonts w:ascii="Arial" w:eastAsia="Calibri" w:hAnsi="Arial" w:cs="Arial"/>
          <w:bCs/>
          <w:sz w:val="24"/>
          <w:szCs w:val="24"/>
          <w:lang w:eastAsia="en-GB"/>
        </w:rPr>
        <w:t>in the mortality rates is</w:t>
      </w:r>
      <w:r w:rsidRPr="00EE4BDD">
        <w:rPr>
          <w:rFonts w:ascii="Arial" w:eastAsia="Calibri" w:hAnsi="Arial" w:cs="Arial"/>
          <w:bCs/>
          <w:sz w:val="24"/>
          <w:szCs w:val="24"/>
          <w:lang w:eastAsia="en-GB"/>
        </w:rPr>
        <w:t xml:space="preserve"> attributed to hygiene related challenges, particularly recurring diarrhea out breaks in the country. However, government is strengthening efforts to provide equitable and robust child survival mechanisms and accelerate the uptake of High Impact Interventions including Breast feeding, Immunizations, Zinc Sulphate, Vitamin A supplementation and Oral Rehydration Salts. </w:t>
      </w:r>
    </w:p>
    <w:p w:rsidR="0047113B" w:rsidRDefault="0047113B" w:rsidP="00EE4BDD">
      <w:pPr>
        <w:spacing w:after="0" w:line="360" w:lineRule="auto"/>
        <w:jc w:val="both"/>
        <w:rPr>
          <w:rFonts w:ascii="Arial" w:eastAsia="Calibri" w:hAnsi="Arial" w:cs="Arial"/>
          <w:bCs/>
          <w:sz w:val="24"/>
          <w:szCs w:val="24"/>
          <w:lang w:eastAsia="en-GB"/>
        </w:rPr>
      </w:pPr>
    </w:p>
    <w:p w:rsidR="00EE4BDD" w:rsidRPr="00EE4BDD" w:rsidRDefault="0047113B" w:rsidP="00EE4BDD">
      <w:pPr>
        <w:spacing w:after="0" w:line="360" w:lineRule="auto"/>
        <w:jc w:val="both"/>
        <w:rPr>
          <w:rFonts w:ascii="Arial" w:eastAsia="Calibri" w:hAnsi="Arial" w:cs="Arial"/>
          <w:sz w:val="24"/>
          <w:szCs w:val="24"/>
        </w:rPr>
      </w:pPr>
      <w:r>
        <w:rPr>
          <w:rFonts w:ascii="Arial" w:eastAsia="Calibri" w:hAnsi="Arial" w:cs="Arial"/>
          <w:bCs/>
          <w:sz w:val="24"/>
          <w:szCs w:val="24"/>
          <w:lang w:eastAsia="en-GB"/>
        </w:rPr>
        <w:t>T</w:t>
      </w:r>
      <w:r w:rsidR="00EE4BDD" w:rsidRPr="00EE4BDD">
        <w:rPr>
          <w:rFonts w:ascii="Arial" w:eastAsia="Calibri" w:hAnsi="Arial" w:cs="Arial"/>
          <w:bCs/>
          <w:sz w:val="24"/>
          <w:szCs w:val="24"/>
          <w:lang w:eastAsia="en-GB"/>
        </w:rPr>
        <w:t xml:space="preserve">he </w:t>
      </w:r>
      <w:r w:rsidR="00A100AB">
        <w:rPr>
          <w:rFonts w:ascii="Arial" w:eastAsia="Calibri" w:hAnsi="Arial" w:cs="Arial"/>
          <w:bCs/>
          <w:sz w:val="24"/>
          <w:szCs w:val="24"/>
          <w:lang w:eastAsia="en-GB"/>
        </w:rPr>
        <w:t xml:space="preserve">2010 </w:t>
      </w:r>
      <w:r w:rsidR="00A100AB">
        <w:rPr>
          <w:rFonts w:ascii="Arial" w:eastAsia="Calibri" w:hAnsi="Arial" w:cs="Arial"/>
          <w:sz w:val="24"/>
          <w:szCs w:val="24"/>
        </w:rPr>
        <w:t>R</w:t>
      </w:r>
      <w:r w:rsidR="00EE4BDD" w:rsidRPr="00EE4BDD">
        <w:rPr>
          <w:rFonts w:ascii="Arial" w:eastAsia="Calibri" w:hAnsi="Arial" w:cs="Arial"/>
          <w:sz w:val="24"/>
          <w:szCs w:val="24"/>
        </w:rPr>
        <w:t>evised National Population Policy target to reduce infant mortality from 46.5 deaths per 1000 live births in 2007 to less than 23 deaths per 1000 live births by 2020</w:t>
      </w:r>
      <w:r w:rsidR="00A100AB">
        <w:rPr>
          <w:rFonts w:ascii="Arial" w:eastAsia="Calibri" w:hAnsi="Arial" w:cs="Arial"/>
          <w:sz w:val="24"/>
          <w:szCs w:val="24"/>
        </w:rPr>
        <w:t>, remains far-fetched</w:t>
      </w:r>
      <w:r w:rsidR="00EE4BDD" w:rsidRPr="00EE4BDD">
        <w:rPr>
          <w:rFonts w:ascii="Arial" w:eastAsia="Calibri" w:hAnsi="Arial" w:cs="Arial"/>
          <w:sz w:val="24"/>
          <w:szCs w:val="24"/>
        </w:rPr>
        <w:t xml:space="preserve">. The Policy seeks to reduce under five mortality from 68 deaths per 1000 live births to less than 29 deaths by 2020. </w:t>
      </w:r>
    </w:p>
    <w:p w:rsidR="00EE4BDD" w:rsidRPr="00EE4BDD" w:rsidRDefault="00EE4BDD" w:rsidP="00EE4BDD">
      <w:pPr>
        <w:spacing w:after="0" w:line="360" w:lineRule="auto"/>
        <w:jc w:val="both"/>
        <w:rPr>
          <w:rFonts w:ascii="Arial" w:eastAsia="Times New Roman" w:hAnsi="Arial" w:cs="Arial"/>
          <w:bCs/>
          <w:sz w:val="24"/>
          <w:szCs w:val="24"/>
        </w:rPr>
      </w:pPr>
    </w:p>
    <w:p w:rsidR="00EE4BDD" w:rsidRPr="00EE4BDD" w:rsidRDefault="0047113B" w:rsidP="00EE4BDD">
      <w:pPr>
        <w:spacing w:after="0" w:line="360" w:lineRule="auto"/>
        <w:jc w:val="both"/>
        <w:rPr>
          <w:rFonts w:ascii="Arial" w:eastAsia="Calibri" w:hAnsi="Arial" w:cs="Arial"/>
          <w:sz w:val="24"/>
          <w:szCs w:val="24"/>
          <w:lang w:val="en-GB"/>
        </w:rPr>
      </w:pPr>
      <w:r>
        <w:rPr>
          <w:rFonts w:ascii="Arial" w:eastAsia="Calibri" w:hAnsi="Arial" w:cs="Arial"/>
          <w:sz w:val="24"/>
          <w:szCs w:val="24"/>
          <w:lang w:val="en-GB"/>
        </w:rPr>
        <w:t>T</w:t>
      </w:r>
      <w:r w:rsidR="00EE4BDD" w:rsidRPr="00EE4BDD">
        <w:rPr>
          <w:rFonts w:ascii="Arial" w:eastAsia="Calibri" w:hAnsi="Arial" w:cs="Arial"/>
          <w:sz w:val="24"/>
          <w:szCs w:val="24"/>
          <w:lang w:val="en-GB"/>
        </w:rPr>
        <w:t xml:space="preserve">he third National Strategic Framework on HIV and AIDS (NSF III) indicates that in 2017, the HIV prevalence among people aged 15 years and older in Botswana was 23.7%. In the same year, women were disproportionally affected with prevalence of 27.2% </w:t>
      </w:r>
      <w:r w:rsidR="00EE4BDD" w:rsidRPr="00EE4BDD">
        <w:rPr>
          <w:rFonts w:ascii="Arial" w:eastAsia="Calibri" w:hAnsi="Arial" w:cs="Arial"/>
          <w:sz w:val="24"/>
          <w:szCs w:val="24"/>
          <w:lang w:val="en-GB"/>
        </w:rPr>
        <w:lastRenderedPageBreak/>
        <w:t>compared to their male counterparts estimated at 20.3%.</w:t>
      </w:r>
      <w:r w:rsidR="00EE4BDD" w:rsidRPr="00EE4BDD">
        <w:rPr>
          <w:rFonts w:ascii="Arial" w:eastAsia="Calibri" w:hAnsi="Arial" w:cs="Arial"/>
          <w:sz w:val="24"/>
          <w:szCs w:val="24"/>
          <w:vertAlign w:val="superscript"/>
          <w:lang w:val="en-GB"/>
        </w:rPr>
        <w:footnoteReference w:id="8"/>
      </w:r>
      <w:r w:rsidR="00EE4BDD" w:rsidRPr="00EE4BDD">
        <w:rPr>
          <w:rFonts w:ascii="Arial" w:eastAsia="Calibri" w:hAnsi="Arial" w:cs="Arial"/>
          <w:sz w:val="24"/>
          <w:szCs w:val="24"/>
          <w:lang w:val="en-GB"/>
        </w:rPr>
        <w:t xml:space="preserve"> </w:t>
      </w:r>
      <w:r>
        <w:rPr>
          <w:rFonts w:ascii="Arial" w:eastAsia="Calibri" w:hAnsi="Arial" w:cs="Arial"/>
          <w:sz w:val="24"/>
          <w:szCs w:val="24"/>
          <w:lang w:val="en-GB"/>
        </w:rPr>
        <w:t xml:space="preserve"> T</w:t>
      </w:r>
      <w:r w:rsidR="00EE4BDD" w:rsidRPr="00EE4BDD">
        <w:rPr>
          <w:rFonts w:ascii="Arial" w:eastAsia="Calibri" w:hAnsi="Arial" w:cs="Arial"/>
          <w:sz w:val="24"/>
          <w:szCs w:val="24"/>
          <w:lang w:val="en-GB"/>
        </w:rPr>
        <w:t>he HIV prevalence among people age</w:t>
      </w:r>
      <w:r>
        <w:rPr>
          <w:rFonts w:ascii="Arial" w:eastAsia="Calibri" w:hAnsi="Arial" w:cs="Arial"/>
          <w:sz w:val="24"/>
          <w:szCs w:val="24"/>
          <w:lang w:val="en-GB"/>
        </w:rPr>
        <w:t xml:space="preserve">d 15-24 years was 8.4%, with females at </w:t>
      </w:r>
      <w:r w:rsidR="00EE4BDD" w:rsidRPr="00EE4BDD">
        <w:rPr>
          <w:rFonts w:ascii="Arial" w:eastAsia="Calibri" w:hAnsi="Arial" w:cs="Arial"/>
          <w:sz w:val="24"/>
          <w:szCs w:val="24"/>
          <w:lang w:val="en-GB"/>
        </w:rPr>
        <w:t xml:space="preserve">11.2% </w:t>
      </w:r>
      <w:r>
        <w:rPr>
          <w:rFonts w:ascii="Arial" w:eastAsia="Calibri" w:hAnsi="Arial" w:cs="Arial"/>
          <w:sz w:val="24"/>
          <w:szCs w:val="24"/>
          <w:lang w:val="en-GB"/>
        </w:rPr>
        <w:t>and</w:t>
      </w:r>
      <w:r w:rsidR="00EE4BDD" w:rsidRPr="00EE4BDD">
        <w:rPr>
          <w:rFonts w:ascii="Arial" w:eastAsia="Calibri" w:hAnsi="Arial" w:cs="Arial"/>
          <w:sz w:val="24"/>
          <w:szCs w:val="24"/>
          <w:lang w:val="en-GB"/>
        </w:rPr>
        <w:t xml:space="preserve"> males </w:t>
      </w:r>
      <w:r w:rsidR="00A100AB">
        <w:rPr>
          <w:rFonts w:ascii="Arial" w:eastAsia="Calibri" w:hAnsi="Arial" w:cs="Arial"/>
          <w:sz w:val="24"/>
          <w:szCs w:val="24"/>
          <w:lang w:val="en-GB"/>
        </w:rPr>
        <w:t xml:space="preserve">at </w:t>
      </w:r>
      <w:r w:rsidR="00EE4BDD" w:rsidRPr="00EE4BDD">
        <w:rPr>
          <w:rFonts w:ascii="Arial" w:eastAsia="Calibri" w:hAnsi="Arial" w:cs="Arial"/>
          <w:sz w:val="24"/>
          <w:szCs w:val="24"/>
          <w:lang w:val="en-GB"/>
        </w:rPr>
        <w:t xml:space="preserve">5.6%. </w:t>
      </w:r>
    </w:p>
    <w:p w:rsidR="00EE4BDD" w:rsidRPr="00EE4BDD" w:rsidRDefault="00EE4BDD" w:rsidP="00EE4BDD">
      <w:pPr>
        <w:spacing w:before="120" w:after="0" w:line="360" w:lineRule="auto"/>
        <w:jc w:val="both"/>
        <w:rPr>
          <w:rFonts w:ascii="Arial" w:eastAsia="Calibri" w:hAnsi="Arial" w:cs="Arial"/>
          <w:sz w:val="24"/>
          <w:szCs w:val="24"/>
          <w:lang w:val="en-GB"/>
        </w:rPr>
      </w:pPr>
      <w:r w:rsidRPr="00EE4BDD">
        <w:rPr>
          <w:rFonts w:ascii="Arial" w:eastAsia="Calibri" w:hAnsi="Arial" w:cs="Arial"/>
          <w:sz w:val="24"/>
          <w:szCs w:val="24"/>
          <w:lang w:val="en-GB"/>
        </w:rPr>
        <w:t xml:space="preserve">The number of persons of all ages living with HIV was estimated at 378,193, of which 215,361 females and 162,832 males. A total of 34,742 people </w:t>
      </w:r>
      <w:proofErr w:type="gramStart"/>
      <w:r w:rsidRPr="00EE4BDD">
        <w:rPr>
          <w:rFonts w:ascii="Arial" w:eastAsia="Calibri" w:hAnsi="Arial" w:cs="Arial"/>
          <w:sz w:val="24"/>
          <w:szCs w:val="24"/>
          <w:lang w:val="en-GB"/>
        </w:rPr>
        <w:t>were</w:t>
      </w:r>
      <w:proofErr w:type="gramEnd"/>
      <w:r w:rsidRPr="00EE4BDD">
        <w:rPr>
          <w:rFonts w:ascii="Arial" w:eastAsia="Calibri" w:hAnsi="Arial" w:cs="Arial"/>
          <w:sz w:val="24"/>
          <w:szCs w:val="24"/>
          <w:lang w:val="en-GB"/>
        </w:rPr>
        <w:t xml:space="preserve"> living with HIV in the 15-24 year age group of whom 66% (23,089) were female. About 9,018 children aged 0-14 were also living with HIV.</w:t>
      </w:r>
      <w:r w:rsidRPr="00EE4BDD">
        <w:rPr>
          <w:rFonts w:ascii="Arial" w:eastAsia="Calibri" w:hAnsi="Arial" w:cs="Arial"/>
          <w:sz w:val="24"/>
          <w:szCs w:val="24"/>
          <w:vertAlign w:val="superscript"/>
          <w:lang w:val="en-GB"/>
        </w:rPr>
        <w:footnoteReference w:id="9"/>
      </w:r>
      <w:r w:rsidRPr="00EE4BDD">
        <w:rPr>
          <w:rFonts w:ascii="Arial" w:eastAsia="Calibri" w:hAnsi="Arial" w:cs="Arial"/>
          <w:sz w:val="24"/>
          <w:szCs w:val="24"/>
          <w:lang w:val="en-GB"/>
        </w:rPr>
        <w:t xml:space="preserve"> In 2017, UNAIDS indicated that 69% new HIV infections occur among persons aged 15-34 years, and most of these occur earlier among females than males as shown in Figure 4. </w:t>
      </w:r>
    </w:p>
    <w:p w:rsidR="00EE4BDD" w:rsidRPr="00EE4BDD" w:rsidRDefault="00EE4BDD" w:rsidP="00EE4BDD">
      <w:pPr>
        <w:spacing w:before="120" w:after="0" w:line="360" w:lineRule="auto"/>
        <w:jc w:val="both"/>
        <w:rPr>
          <w:rFonts w:ascii="Arial" w:eastAsia="Calibri" w:hAnsi="Arial" w:cs="Arial"/>
          <w:sz w:val="24"/>
          <w:szCs w:val="24"/>
          <w:lang w:val="en-GB"/>
        </w:rPr>
      </w:pPr>
    </w:p>
    <w:p w:rsidR="00EE4BDD" w:rsidRPr="00EE4BDD" w:rsidRDefault="00EE4BDD" w:rsidP="00EE4BDD">
      <w:pPr>
        <w:keepNext/>
        <w:spacing w:after="0" w:line="240" w:lineRule="auto"/>
        <w:jc w:val="both"/>
        <w:rPr>
          <w:rFonts w:ascii="Times New Roman" w:eastAsia="Calibri" w:hAnsi="Times New Roman" w:cs="Times New Roman"/>
          <w:sz w:val="24"/>
          <w:szCs w:val="24"/>
          <w:lang w:val="en-GB"/>
        </w:rPr>
      </w:pPr>
      <w:bookmarkStart w:id="2" w:name="_Toc523816784"/>
      <w:bookmarkStart w:id="3" w:name="_Toc523817258"/>
      <w:r w:rsidRPr="00EE4BDD">
        <w:rPr>
          <w:rFonts w:ascii="Times New Roman" w:eastAsia="Calibri" w:hAnsi="Times New Roman" w:cs="Times New Roman"/>
          <w:b/>
          <w:sz w:val="24"/>
          <w:szCs w:val="24"/>
          <w:lang w:val="en-GB"/>
        </w:rPr>
        <w:t xml:space="preserve">Figure 4: </w:t>
      </w:r>
      <w:r w:rsidRPr="00EE4BDD">
        <w:rPr>
          <w:rFonts w:ascii="Times New Roman" w:eastAsia="Calibri" w:hAnsi="Times New Roman" w:cs="Times New Roman"/>
          <w:sz w:val="24"/>
          <w:szCs w:val="24"/>
          <w:lang w:val="en-GB"/>
        </w:rPr>
        <w:t>New infections by sex for all age groups, 2017</w:t>
      </w:r>
      <w:bookmarkEnd w:id="2"/>
      <w:bookmarkEnd w:id="3"/>
    </w:p>
    <w:p w:rsidR="00EE4BDD" w:rsidRPr="00EE4BDD" w:rsidRDefault="00EE4BDD" w:rsidP="00EE4BDD">
      <w:pPr>
        <w:keepNext/>
        <w:spacing w:after="0" w:line="240" w:lineRule="auto"/>
        <w:jc w:val="both"/>
        <w:rPr>
          <w:rFonts w:ascii="Times New Roman" w:eastAsia="Calibri" w:hAnsi="Times New Roman" w:cs="Times New Roman"/>
          <w:b/>
          <w:sz w:val="24"/>
          <w:szCs w:val="24"/>
          <w:lang w:val="en-GB"/>
        </w:rPr>
      </w:pPr>
    </w:p>
    <w:p w:rsidR="00EE4BDD" w:rsidRPr="00EE4BDD" w:rsidRDefault="00EE4BDD" w:rsidP="00EE4BDD">
      <w:pPr>
        <w:keepNext/>
        <w:spacing w:after="0" w:line="240" w:lineRule="auto"/>
        <w:jc w:val="both"/>
        <w:rPr>
          <w:rFonts w:ascii="Times New Roman" w:eastAsia="Calibri" w:hAnsi="Times New Roman" w:cs="Times New Roman"/>
          <w:b/>
          <w:sz w:val="24"/>
          <w:szCs w:val="24"/>
          <w:lang w:val="en-GB"/>
        </w:rPr>
      </w:pPr>
      <w:bookmarkStart w:id="4" w:name="_Toc523816258"/>
      <w:bookmarkStart w:id="5" w:name="_Toc523816304"/>
      <w:bookmarkStart w:id="6" w:name="_Toc523816714"/>
      <w:bookmarkStart w:id="7" w:name="_Toc523816785"/>
      <w:bookmarkStart w:id="8" w:name="_Toc523817259"/>
      <w:r w:rsidRPr="00EE4BDD">
        <w:rPr>
          <w:rFonts w:ascii="Times New Roman" w:eastAsia="Calibri" w:hAnsi="Times New Roman" w:cs="Times New Roman"/>
          <w:b/>
          <w:noProof/>
          <w:sz w:val="24"/>
          <w:szCs w:val="24"/>
          <w:lang w:val="en-ZA" w:eastAsia="en-ZA"/>
        </w:rPr>
        <w:drawing>
          <wp:inline distT="0" distB="0" distL="0" distR="0" wp14:anchorId="4AE78E04" wp14:editId="304008C5">
            <wp:extent cx="5524500" cy="2752725"/>
            <wp:effectExtent l="0" t="0" r="0"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4"/>
      <w:bookmarkEnd w:id="5"/>
      <w:bookmarkEnd w:id="6"/>
      <w:bookmarkEnd w:id="7"/>
      <w:bookmarkEnd w:id="8"/>
    </w:p>
    <w:p w:rsidR="00EE4BDD" w:rsidRPr="00EE4BDD" w:rsidRDefault="00EE4BDD" w:rsidP="00EE4BDD">
      <w:pPr>
        <w:spacing w:before="60" w:line="240" w:lineRule="auto"/>
        <w:jc w:val="both"/>
        <w:rPr>
          <w:rFonts w:ascii="Times New Roman" w:eastAsia="Calibri" w:hAnsi="Times New Roman" w:cs="Times New Roman"/>
          <w:i/>
          <w:iCs/>
          <w:sz w:val="24"/>
          <w:szCs w:val="24"/>
          <w:lang w:val="en-GB"/>
        </w:rPr>
      </w:pPr>
      <w:r w:rsidRPr="00EE4BDD">
        <w:rPr>
          <w:rFonts w:ascii="Times New Roman" w:eastAsia="Calibri" w:hAnsi="Times New Roman" w:cs="Times New Roman"/>
          <w:i/>
          <w:iCs/>
          <w:sz w:val="24"/>
          <w:szCs w:val="24"/>
          <w:lang w:val="en-GB"/>
        </w:rPr>
        <w:t>Data source: UNAIDS Spectrum, 2018</w:t>
      </w:r>
    </w:p>
    <w:p w:rsidR="00EE4BDD" w:rsidRPr="00EE4BDD" w:rsidRDefault="00EE4BDD" w:rsidP="00EE4BDD">
      <w:pPr>
        <w:spacing w:after="0" w:line="360" w:lineRule="auto"/>
        <w:jc w:val="both"/>
        <w:rPr>
          <w:rFonts w:ascii="Arial" w:eastAsia="Calibri" w:hAnsi="Arial" w:cs="Arial"/>
          <w:sz w:val="24"/>
          <w:szCs w:val="24"/>
          <w:lang w:val="en-GB"/>
        </w:rPr>
      </w:pPr>
      <w:r w:rsidRPr="00EE4BDD">
        <w:rPr>
          <w:rFonts w:ascii="Arial" w:eastAsia="Calibri" w:hAnsi="Arial" w:cs="Arial"/>
          <w:sz w:val="24"/>
          <w:szCs w:val="24"/>
          <w:lang w:val="en-GB"/>
        </w:rPr>
        <w:t xml:space="preserve">Girls and young women aged 15-34 account for 5,609 new HIV infections, comprising 75% of all new infections among all females and 40.6% of new infections among the </w:t>
      </w:r>
      <w:proofErr w:type="gramStart"/>
      <w:r w:rsidRPr="00EE4BDD">
        <w:rPr>
          <w:rFonts w:ascii="Arial" w:eastAsia="Calibri" w:hAnsi="Arial" w:cs="Arial"/>
          <w:sz w:val="24"/>
          <w:szCs w:val="24"/>
          <w:lang w:val="en-GB"/>
        </w:rPr>
        <w:t>population as a whole</w:t>
      </w:r>
      <w:proofErr w:type="gramEnd"/>
      <w:r w:rsidRPr="00EE4BDD">
        <w:rPr>
          <w:rFonts w:ascii="Arial" w:eastAsia="Calibri" w:hAnsi="Arial" w:cs="Arial"/>
          <w:sz w:val="24"/>
          <w:szCs w:val="24"/>
          <w:lang w:val="en-GB"/>
        </w:rPr>
        <w:t xml:space="preserve">. Boys and young men in the same age group account for 3,957 new HIV infections, comprising 62.6% of new infections among all males, and 28.6% of new infections among the </w:t>
      </w:r>
      <w:proofErr w:type="gramStart"/>
      <w:r w:rsidRPr="00EE4BDD">
        <w:rPr>
          <w:rFonts w:ascii="Arial" w:eastAsia="Calibri" w:hAnsi="Arial" w:cs="Arial"/>
          <w:sz w:val="24"/>
          <w:szCs w:val="24"/>
          <w:lang w:val="en-GB"/>
        </w:rPr>
        <w:t>population as</w:t>
      </w:r>
      <w:r w:rsidRPr="00EE4BDD">
        <w:rPr>
          <w:rFonts w:ascii="Times New Roman" w:eastAsia="Calibri" w:hAnsi="Times New Roman" w:cs="Times New Roman"/>
          <w:sz w:val="24"/>
          <w:szCs w:val="24"/>
          <w:lang w:val="en-GB"/>
        </w:rPr>
        <w:t xml:space="preserve"> </w:t>
      </w:r>
      <w:r w:rsidRPr="00EE4BDD">
        <w:rPr>
          <w:rFonts w:ascii="Arial" w:eastAsia="Calibri" w:hAnsi="Arial" w:cs="Arial"/>
          <w:sz w:val="24"/>
          <w:szCs w:val="24"/>
          <w:lang w:val="en-GB"/>
        </w:rPr>
        <w:t>a whole</w:t>
      </w:r>
      <w:proofErr w:type="gramEnd"/>
      <w:r w:rsidRPr="00EE4BDD">
        <w:rPr>
          <w:rFonts w:ascii="Arial" w:eastAsia="Calibri" w:hAnsi="Arial" w:cs="Arial"/>
          <w:sz w:val="24"/>
          <w:szCs w:val="24"/>
          <w:lang w:val="en-GB"/>
        </w:rPr>
        <w:t xml:space="preserve">. On preventing mother to child transmission (MTCT) of HIV, as of 2017, the MTCT rate was estimated at 1.4%, and the </w:t>
      </w:r>
      <w:r w:rsidRPr="00EE4BDD">
        <w:rPr>
          <w:rFonts w:ascii="Arial" w:eastAsia="Calibri" w:hAnsi="Arial" w:cs="Arial"/>
          <w:sz w:val="24"/>
          <w:szCs w:val="24"/>
          <w:lang w:val="en-GB"/>
        </w:rPr>
        <w:lastRenderedPageBreak/>
        <w:t xml:space="preserve">UNAIDS Spectrum data of 2018 estimates that 600 new infections occur among children 0-14 years, about 9,000 children are living with HIV while 68% (6,122) of these are on ART. </w:t>
      </w:r>
    </w:p>
    <w:p w:rsidR="00EE4BDD" w:rsidRPr="00EE4BDD" w:rsidRDefault="00EE4BDD" w:rsidP="00EE4BDD">
      <w:pPr>
        <w:spacing w:after="0" w:line="360" w:lineRule="auto"/>
        <w:jc w:val="both"/>
        <w:rPr>
          <w:rFonts w:ascii="Arial" w:eastAsia="Calibri" w:hAnsi="Arial" w:cs="Arial"/>
          <w:sz w:val="24"/>
          <w:szCs w:val="24"/>
          <w:lang w:val="en-GB"/>
        </w:rPr>
      </w:pPr>
    </w:p>
    <w:p w:rsidR="00EE4BDD" w:rsidRPr="00EE4BDD" w:rsidRDefault="00EE4BDD" w:rsidP="00EE4BDD">
      <w:pPr>
        <w:spacing w:after="0" w:line="360" w:lineRule="auto"/>
        <w:jc w:val="both"/>
        <w:rPr>
          <w:rFonts w:ascii="Arial" w:eastAsia="Calibri" w:hAnsi="Arial" w:cs="Arial"/>
          <w:sz w:val="24"/>
          <w:szCs w:val="24"/>
        </w:rPr>
      </w:pPr>
      <w:r w:rsidRPr="00EE4BDD">
        <w:rPr>
          <w:rFonts w:ascii="Arial" w:eastAsia="Calibri" w:hAnsi="Arial" w:cs="Arial"/>
          <w:sz w:val="24"/>
          <w:szCs w:val="24"/>
          <w:lang w:val="en-GB"/>
        </w:rPr>
        <w:t>On the other hand, the HIV incidence was estimated 3.91% among the female sex workers (FSW)</w:t>
      </w:r>
      <w:r w:rsidRPr="00EE4BDD">
        <w:rPr>
          <w:rFonts w:ascii="Arial" w:eastAsia="Calibri" w:hAnsi="Arial" w:cs="Arial"/>
          <w:sz w:val="24"/>
          <w:szCs w:val="24"/>
          <w:vertAlign w:val="superscript"/>
        </w:rPr>
        <w:footnoteReference w:id="10"/>
      </w:r>
      <w:r w:rsidRPr="00EE4BDD">
        <w:rPr>
          <w:rFonts w:ascii="Arial" w:eastAsia="Calibri" w:hAnsi="Arial" w:cs="Arial"/>
          <w:sz w:val="24"/>
          <w:szCs w:val="24"/>
          <w:lang w:val="en-GB"/>
        </w:rPr>
        <w:t xml:space="preserve"> and </w:t>
      </w:r>
      <w:r w:rsidRPr="00EE4BDD">
        <w:rPr>
          <w:rFonts w:ascii="Arial" w:eastAsia="Calibri" w:hAnsi="Arial" w:cs="Arial"/>
          <w:sz w:val="24"/>
          <w:szCs w:val="24"/>
          <w:lang w:val="en-ZA"/>
        </w:rPr>
        <w:t xml:space="preserve">3.49% among men who have sex with other men (MSM) in 2017 compared to the </w:t>
      </w:r>
      <w:r w:rsidRPr="00EE4BDD">
        <w:rPr>
          <w:rFonts w:ascii="Arial" w:eastAsia="Calibri" w:hAnsi="Arial" w:cs="Arial"/>
          <w:sz w:val="24"/>
          <w:szCs w:val="24"/>
          <w:lang w:val="en-GB"/>
        </w:rPr>
        <w:t xml:space="preserve">general population incidence 0.46% </w:t>
      </w:r>
      <w:r w:rsidRPr="00EE4BDD">
        <w:rPr>
          <w:rFonts w:ascii="Arial" w:eastAsia="Calibri" w:hAnsi="Arial" w:cs="Arial"/>
          <w:sz w:val="24"/>
          <w:szCs w:val="24"/>
          <w:lang w:val="en-ZA"/>
        </w:rPr>
        <w:t>according to the Botswana Incidence Patterns Model</w:t>
      </w:r>
      <w:r w:rsidRPr="00EE4BDD">
        <w:rPr>
          <w:rFonts w:ascii="Arial" w:eastAsia="Calibri" w:hAnsi="Arial" w:cs="Arial"/>
          <w:sz w:val="24"/>
          <w:szCs w:val="24"/>
          <w:vertAlign w:val="superscript"/>
          <w:lang w:val="en-ZA"/>
        </w:rPr>
        <w:footnoteReference w:id="11"/>
      </w:r>
      <w:r w:rsidRPr="00EE4BDD">
        <w:rPr>
          <w:rFonts w:ascii="Arial" w:eastAsia="Calibri" w:hAnsi="Arial" w:cs="Arial"/>
          <w:sz w:val="24"/>
          <w:szCs w:val="24"/>
          <w:lang w:val="en-ZA"/>
        </w:rPr>
        <w:t xml:space="preserve">. However, </w:t>
      </w:r>
      <w:r w:rsidRPr="00EE4BDD">
        <w:rPr>
          <w:rFonts w:ascii="Arial" w:eastAsia="Calibri" w:hAnsi="Arial" w:cs="Arial"/>
          <w:sz w:val="24"/>
          <w:szCs w:val="24"/>
          <w:lang w:val="en-GB"/>
        </w:rPr>
        <w:t xml:space="preserve">according to NSF III, HIV mortality declined from 5,878 in 2010 to 4,054 in 2017 (31% decline) due to the retention of people living with HIV on treatment, more AIDS deaths occurred among men due to men’s poor health seeking behaviour. </w:t>
      </w:r>
    </w:p>
    <w:p w:rsidR="00EE4BDD" w:rsidRPr="00EE4BDD" w:rsidRDefault="00EE4BDD" w:rsidP="00EE4BDD">
      <w:pPr>
        <w:spacing w:after="0" w:line="360" w:lineRule="auto"/>
        <w:jc w:val="both"/>
        <w:rPr>
          <w:rFonts w:ascii="Arial" w:eastAsia="Calibri" w:hAnsi="Arial" w:cs="Arial"/>
          <w:sz w:val="24"/>
          <w:szCs w:val="24"/>
          <w:lang w:val="en-GB"/>
        </w:rPr>
      </w:pPr>
    </w:p>
    <w:p w:rsidR="00EE4BDD" w:rsidRPr="00EE4BDD" w:rsidRDefault="00EE4BDD" w:rsidP="00EE4BDD">
      <w:pPr>
        <w:spacing w:after="0" w:line="360" w:lineRule="auto"/>
        <w:jc w:val="both"/>
        <w:rPr>
          <w:rFonts w:ascii="Arial" w:eastAsia="Calibri" w:hAnsi="Arial" w:cs="Arial"/>
          <w:sz w:val="24"/>
          <w:szCs w:val="24"/>
        </w:rPr>
      </w:pPr>
      <w:r w:rsidRPr="00EE4BDD">
        <w:rPr>
          <w:rFonts w:ascii="Arial" w:eastAsia="Calibri" w:hAnsi="Arial" w:cs="Arial"/>
          <w:sz w:val="24"/>
          <w:szCs w:val="24"/>
          <w:lang w:val="en-GB"/>
        </w:rPr>
        <w:t>Botswana is also experiencing a high burden of tuberculosis (TB) and HIV co-infection, with 60% of TB patients co-infected with HIV in 2016,</w:t>
      </w:r>
      <w:r w:rsidRPr="00EE4BDD">
        <w:rPr>
          <w:rFonts w:ascii="Arial" w:eastAsia="Calibri" w:hAnsi="Arial" w:cs="Arial"/>
          <w:sz w:val="24"/>
          <w:szCs w:val="24"/>
          <w:vertAlign w:val="superscript"/>
          <w:lang w:val="en-GB"/>
        </w:rPr>
        <w:footnoteReference w:id="12"/>
      </w:r>
      <w:r w:rsidRPr="00EE4BDD">
        <w:rPr>
          <w:rFonts w:ascii="Arial" w:eastAsia="Calibri" w:hAnsi="Arial" w:cs="Arial"/>
          <w:sz w:val="24"/>
          <w:szCs w:val="24"/>
          <w:lang w:val="en-GB"/>
        </w:rPr>
        <w:t xml:space="preserve">  although TB treatment success rates for PLHIV are good, with 78% being achieved among PLHIV with TB in 2015.</w:t>
      </w:r>
      <w:r w:rsidRPr="00EE4BDD">
        <w:rPr>
          <w:rFonts w:ascii="Arial" w:eastAsia="Calibri" w:hAnsi="Arial" w:cs="Arial"/>
          <w:sz w:val="24"/>
          <w:szCs w:val="24"/>
          <w:vertAlign w:val="superscript"/>
          <w:lang w:val="en-GB"/>
        </w:rPr>
        <w:footnoteReference w:id="13"/>
      </w:r>
      <w:r w:rsidRPr="00EE4BDD">
        <w:rPr>
          <w:rFonts w:ascii="Arial" w:eastAsia="Calibri" w:hAnsi="Arial" w:cs="Arial"/>
          <w:sz w:val="24"/>
          <w:szCs w:val="24"/>
          <w:lang w:val="en-GB"/>
        </w:rPr>
        <w:t xml:space="preserve">  The NSF III also identifies other opportunistic infections and non-communicable diseases as public health threats such as hepatitis-B and C and cervical cancer. Cancer contributes to 5% of all deaths, with 26% of cancer diagnoses in women being cervical cancer, and the prevalence of cardiovascular diseases and diabetes contributed to 18% and 4% of deaths respectively in 2017. </w:t>
      </w:r>
    </w:p>
    <w:p w:rsidR="00EE4BDD" w:rsidRDefault="00EE4BDD" w:rsidP="00EE4BDD">
      <w:pPr>
        <w:autoSpaceDE w:val="0"/>
        <w:autoSpaceDN w:val="0"/>
        <w:adjustRightInd w:val="0"/>
        <w:spacing w:after="0" w:line="360" w:lineRule="auto"/>
        <w:jc w:val="both"/>
        <w:rPr>
          <w:rFonts w:ascii="Arial" w:hAnsi="Arial" w:cs="Arial"/>
          <w:sz w:val="24"/>
          <w:szCs w:val="24"/>
        </w:rPr>
      </w:pPr>
    </w:p>
    <w:p w:rsidR="00F01B14" w:rsidRPr="00F01B14" w:rsidRDefault="00F01B14" w:rsidP="00F01B14">
      <w:pPr>
        <w:pStyle w:val="Heading3"/>
        <w:rPr>
          <w:rFonts w:ascii="Arial" w:eastAsia="Calibri" w:hAnsi="Arial" w:cs="Arial"/>
          <w:b/>
          <w:color w:val="auto"/>
        </w:rPr>
      </w:pPr>
      <w:r>
        <w:rPr>
          <w:rFonts w:ascii="Arial" w:eastAsia="Calibri" w:hAnsi="Arial" w:cs="Arial"/>
          <w:b/>
          <w:color w:val="auto"/>
        </w:rPr>
        <w:t xml:space="preserve">3.3.2 </w:t>
      </w:r>
      <w:r w:rsidRPr="00F01B14">
        <w:rPr>
          <w:rFonts w:ascii="Arial" w:eastAsia="Calibri" w:hAnsi="Arial" w:cs="Arial"/>
          <w:b/>
          <w:color w:val="auto"/>
        </w:rPr>
        <w:t xml:space="preserve">Government </w:t>
      </w:r>
      <w:proofErr w:type="spellStart"/>
      <w:r w:rsidRPr="00F01B14">
        <w:rPr>
          <w:rFonts w:ascii="Arial" w:eastAsia="Calibri" w:hAnsi="Arial" w:cs="Arial"/>
          <w:b/>
          <w:color w:val="auto"/>
        </w:rPr>
        <w:t>Programmes</w:t>
      </w:r>
      <w:proofErr w:type="spellEnd"/>
      <w:r w:rsidRPr="00F01B14">
        <w:rPr>
          <w:rFonts w:ascii="Arial" w:eastAsia="Calibri" w:hAnsi="Arial" w:cs="Arial"/>
          <w:b/>
          <w:color w:val="auto"/>
        </w:rPr>
        <w:t xml:space="preserve">/Initiatives </w:t>
      </w:r>
    </w:p>
    <w:p w:rsidR="00F01B14" w:rsidRPr="00F01B14" w:rsidRDefault="00F01B14" w:rsidP="00F01B14">
      <w:pPr>
        <w:spacing w:before="120" w:after="0" w:line="360" w:lineRule="auto"/>
        <w:jc w:val="both"/>
        <w:rPr>
          <w:rFonts w:ascii="Arial" w:eastAsia="Calibri" w:hAnsi="Arial" w:cs="Arial"/>
          <w:bCs/>
          <w:sz w:val="24"/>
          <w:szCs w:val="24"/>
        </w:rPr>
      </w:pPr>
      <w:r w:rsidRPr="00F01B14">
        <w:rPr>
          <w:rFonts w:ascii="Arial" w:eastAsia="Calibri" w:hAnsi="Arial" w:cs="Arial"/>
          <w:bCs/>
          <w:sz w:val="24"/>
          <w:szCs w:val="24"/>
        </w:rPr>
        <w:t xml:space="preserve">The Government of Botswana has established policies, </w:t>
      </w:r>
      <w:proofErr w:type="spellStart"/>
      <w:r w:rsidRPr="00F01B14">
        <w:rPr>
          <w:rFonts w:ascii="Arial" w:eastAsia="Calibri" w:hAnsi="Arial" w:cs="Arial"/>
          <w:bCs/>
          <w:sz w:val="24"/>
          <w:szCs w:val="24"/>
        </w:rPr>
        <w:t>programmes</w:t>
      </w:r>
      <w:proofErr w:type="spellEnd"/>
      <w:r w:rsidRPr="00F01B14">
        <w:rPr>
          <w:rFonts w:ascii="Arial" w:eastAsia="Calibri" w:hAnsi="Arial" w:cs="Arial"/>
          <w:bCs/>
          <w:sz w:val="24"/>
          <w:szCs w:val="24"/>
        </w:rPr>
        <w:t xml:space="preserve"> and procedures to protect the health of pregnant women, neonates and children. These health policies and strategies are anchored on the National Health Policy (NHP) and Integrated Health Service Plan for 2010- 2020 (IHSP), which is due for review. Although the NHP and IHSP provide guidance on reducing infant, child and maternal mortality, as well as improving </w:t>
      </w:r>
      <w:r w:rsidRPr="00F01B14">
        <w:rPr>
          <w:rFonts w:ascii="Arial" w:eastAsia="Calibri" w:hAnsi="Arial" w:cs="Arial"/>
          <w:bCs/>
          <w:sz w:val="24"/>
          <w:szCs w:val="24"/>
        </w:rPr>
        <w:lastRenderedPageBreak/>
        <w:t>nutritional status of children, the review of these strategic documents (NHP and IHSP) is due in 2020.</w:t>
      </w:r>
    </w:p>
    <w:p w:rsidR="00F01B14" w:rsidRPr="00F01B14" w:rsidRDefault="00F01B14" w:rsidP="00F01B14">
      <w:pPr>
        <w:spacing w:before="120" w:after="0" w:line="360" w:lineRule="auto"/>
        <w:jc w:val="both"/>
        <w:rPr>
          <w:rFonts w:ascii="Arial" w:eastAsia="Calibri" w:hAnsi="Arial" w:cs="Arial"/>
          <w:bCs/>
          <w:sz w:val="24"/>
          <w:szCs w:val="24"/>
        </w:rPr>
      </w:pPr>
      <w:r w:rsidRPr="00F01B14">
        <w:rPr>
          <w:rFonts w:ascii="Arial" w:eastAsia="Calibri" w:hAnsi="Arial" w:cs="Arial"/>
          <w:bCs/>
          <w:sz w:val="24"/>
          <w:szCs w:val="24"/>
        </w:rPr>
        <w:t xml:space="preserve">In addition to the NHP and IHSP, the country has also shifted its focus from the Maternal Child Health and Family Planning (MCH/FP) to Sexual Reproductive Health and Rights (SRHR) by signing the Reproductive Health </w:t>
      </w:r>
      <w:proofErr w:type="spellStart"/>
      <w:r w:rsidRPr="00F01B14">
        <w:rPr>
          <w:rFonts w:ascii="Arial" w:eastAsia="Calibri" w:hAnsi="Arial" w:cs="Arial"/>
          <w:bCs/>
          <w:sz w:val="24"/>
          <w:szCs w:val="24"/>
        </w:rPr>
        <w:t>Programme</w:t>
      </w:r>
      <w:proofErr w:type="spellEnd"/>
      <w:r w:rsidRPr="00F01B14">
        <w:rPr>
          <w:rFonts w:ascii="Arial" w:eastAsia="Calibri" w:hAnsi="Arial" w:cs="Arial"/>
          <w:bCs/>
          <w:sz w:val="24"/>
          <w:szCs w:val="24"/>
        </w:rPr>
        <w:t xml:space="preserve"> Development and Capacity Building Project with UNFPA (BOT/98/P02). The paradigm shift sets the goal of improving SRH of all people living in Botswana and recognized the critical nature of both management and service delivery issues and their interactions in facilitating the process of expanding SRHR services and enhancing quality of care. </w:t>
      </w:r>
    </w:p>
    <w:p w:rsidR="00E532F4" w:rsidRDefault="00E532F4" w:rsidP="007826B5">
      <w:pPr>
        <w:autoSpaceDE w:val="0"/>
        <w:autoSpaceDN w:val="0"/>
        <w:adjustRightInd w:val="0"/>
        <w:spacing w:after="0" w:line="360" w:lineRule="auto"/>
        <w:jc w:val="both"/>
        <w:rPr>
          <w:rFonts w:ascii="Arial" w:hAnsi="Arial" w:cs="Arial"/>
          <w:sz w:val="24"/>
          <w:szCs w:val="24"/>
        </w:rPr>
      </w:pPr>
    </w:p>
    <w:p w:rsidR="00ED68A0" w:rsidRPr="007826B5" w:rsidRDefault="00ED68A0" w:rsidP="007826B5">
      <w:pPr>
        <w:autoSpaceDE w:val="0"/>
        <w:autoSpaceDN w:val="0"/>
        <w:adjustRightInd w:val="0"/>
        <w:spacing w:after="0" w:line="360" w:lineRule="auto"/>
        <w:jc w:val="both"/>
        <w:rPr>
          <w:rFonts w:ascii="Arial" w:hAnsi="Arial" w:cs="Arial"/>
          <w:sz w:val="24"/>
          <w:szCs w:val="24"/>
        </w:rPr>
      </w:pPr>
    </w:p>
    <w:p w:rsidR="007826B5" w:rsidRPr="007A199D" w:rsidRDefault="007826B5" w:rsidP="001B5D97">
      <w:pPr>
        <w:pStyle w:val="Heading2"/>
        <w:spacing w:line="360" w:lineRule="auto"/>
        <w:rPr>
          <w:rFonts w:ascii="Arial" w:hAnsi="Arial" w:cs="Arial"/>
          <w:b/>
          <w:color w:val="0D0D0D" w:themeColor="text1" w:themeTint="F2"/>
          <w:sz w:val="28"/>
          <w:szCs w:val="28"/>
        </w:rPr>
      </w:pPr>
      <w:r w:rsidRPr="007A199D">
        <w:rPr>
          <w:rFonts w:ascii="Arial" w:hAnsi="Arial" w:cs="Arial"/>
          <w:b/>
          <w:color w:val="0D0D0D" w:themeColor="text1" w:themeTint="F2"/>
          <w:sz w:val="28"/>
          <w:szCs w:val="28"/>
        </w:rPr>
        <w:t>3.4 Goal 4</w:t>
      </w:r>
      <w:r w:rsidR="0060407A" w:rsidRPr="007A199D">
        <w:rPr>
          <w:rFonts w:ascii="Arial" w:hAnsi="Arial" w:cs="Arial"/>
          <w:b/>
          <w:color w:val="0D0D0D" w:themeColor="text1" w:themeTint="F2"/>
          <w:sz w:val="28"/>
          <w:szCs w:val="28"/>
        </w:rPr>
        <w:t xml:space="preserve">:  </w:t>
      </w:r>
      <w:r w:rsidRPr="007A199D">
        <w:rPr>
          <w:rFonts w:ascii="Arial" w:hAnsi="Arial" w:cs="Arial"/>
          <w:b/>
          <w:color w:val="0D0D0D" w:themeColor="text1" w:themeTint="F2"/>
          <w:sz w:val="28"/>
          <w:szCs w:val="28"/>
        </w:rPr>
        <w:t xml:space="preserve">Transformed Economies and Job Creation </w:t>
      </w:r>
    </w:p>
    <w:p w:rsidR="007C5A8A" w:rsidRPr="007C5A8A" w:rsidRDefault="007C5A8A" w:rsidP="001B5D97">
      <w:pPr>
        <w:autoSpaceDE w:val="0"/>
        <w:autoSpaceDN w:val="0"/>
        <w:adjustRightInd w:val="0"/>
        <w:spacing w:after="0" w:line="360" w:lineRule="auto"/>
        <w:jc w:val="both"/>
        <w:rPr>
          <w:rFonts w:ascii="Arial" w:eastAsia="Times New Roman" w:hAnsi="Arial" w:cs="Arial"/>
          <w:bCs/>
          <w:sz w:val="24"/>
          <w:szCs w:val="24"/>
        </w:rPr>
      </w:pPr>
      <w:r w:rsidRPr="007C5A8A">
        <w:rPr>
          <w:rFonts w:ascii="Arial" w:eastAsia="Times New Roman" w:hAnsi="Arial" w:cs="Arial"/>
          <w:bCs/>
          <w:sz w:val="24"/>
          <w:szCs w:val="24"/>
        </w:rPr>
        <w:t>Political stability, a cautious foreign policy, and prudent and effective use of revenues from mineral resources contributed to a robust economic growth that transformed Botswana from a least developed country at independence in 1966</w:t>
      </w:r>
      <w:r w:rsidR="004E69A4">
        <w:rPr>
          <w:rFonts w:ascii="Arial" w:eastAsia="Times New Roman" w:hAnsi="Arial" w:cs="Arial"/>
          <w:bCs/>
          <w:sz w:val="24"/>
          <w:szCs w:val="24"/>
        </w:rPr>
        <w:t>,</w:t>
      </w:r>
      <w:r w:rsidRPr="007C5A8A">
        <w:rPr>
          <w:rFonts w:ascii="Arial" w:eastAsia="Times New Roman" w:hAnsi="Arial" w:cs="Arial"/>
          <w:bCs/>
          <w:sz w:val="24"/>
          <w:szCs w:val="24"/>
        </w:rPr>
        <w:t xml:space="preserve"> to an upper </w:t>
      </w:r>
      <w:proofErr w:type="gramStart"/>
      <w:r w:rsidRPr="007C5A8A">
        <w:rPr>
          <w:rFonts w:ascii="Arial" w:eastAsia="Times New Roman" w:hAnsi="Arial" w:cs="Arial"/>
          <w:bCs/>
          <w:sz w:val="24"/>
          <w:szCs w:val="24"/>
        </w:rPr>
        <w:t>middle income</w:t>
      </w:r>
      <w:proofErr w:type="gramEnd"/>
      <w:r w:rsidRPr="007C5A8A">
        <w:rPr>
          <w:rFonts w:ascii="Arial" w:eastAsia="Times New Roman" w:hAnsi="Arial" w:cs="Arial"/>
          <w:bCs/>
          <w:sz w:val="24"/>
          <w:szCs w:val="24"/>
        </w:rPr>
        <w:t xml:space="preserve"> country within three decades. However, Botswana is</w:t>
      </w:r>
      <w:r w:rsidR="002F30A1" w:rsidRPr="002F30A1">
        <w:rPr>
          <w:rFonts w:ascii="Arial" w:eastAsia="Times New Roman" w:hAnsi="Arial" w:cs="Arial"/>
          <w:bCs/>
          <w:sz w:val="24"/>
          <w:szCs w:val="24"/>
        </w:rPr>
        <w:t xml:space="preserve"> </w:t>
      </w:r>
      <w:r w:rsidR="002F30A1" w:rsidRPr="007C5A8A">
        <w:rPr>
          <w:rFonts w:ascii="Arial" w:eastAsia="Times New Roman" w:hAnsi="Arial" w:cs="Arial"/>
          <w:bCs/>
          <w:sz w:val="24"/>
          <w:szCs w:val="24"/>
        </w:rPr>
        <w:t>currently</w:t>
      </w:r>
      <w:r w:rsidRPr="007C5A8A">
        <w:rPr>
          <w:rFonts w:ascii="Arial" w:eastAsia="Times New Roman" w:hAnsi="Arial" w:cs="Arial"/>
          <w:bCs/>
          <w:sz w:val="24"/>
          <w:szCs w:val="24"/>
        </w:rPr>
        <w:t xml:space="preserve"> experiencing high poverty levels in relation to its per capita income level, income inequality and unemployment. </w:t>
      </w:r>
    </w:p>
    <w:p w:rsidR="007C5A8A" w:rsidRPr="007C5A8A" w:rsidRDefault="007C5A8A" w:rsidP="001B5D97">
      <w:pPr>
        <w:autoSpaceDE w:val="0"/>
        <w:autoSpaceDN w:val="0"/>
        <w:adjustRightInd w:val="0"/>
        <w:spacing w:after="0" w:line="360" w:lineRule="auto"/>
        <w:jc w:val="both"/>
        <w:rPr>
          <w:rFonts w:ascii="Arial" w:eastAsia="Times New Roman" w:hAnsi="Arial" w:cs="Arial"/>
          <w:bCs/>
          <w:sz w:val="24"/>
          <w:szCs w:val="24"/>
        </w:rPr>
      </w:pPr>
    </w:p>
    <w:p w:rsidR="007C5A8A" w:rsidRPr="007C5A8A" w:rsidRDefault="007C5A8A" w:rsidP="001B5D97">
      <w:pPr>
        <w:autoSpaceDE w:val="0"/>
        <w:autoSpaceDN w:val="0"/>
        <w:adjustRightInd w:val="0"/>
        <w:spacing w:after="0" w:line="360" w:lineRule="auto"/>
        <w:jc w:val="both"/>
        <w:rPr>
          <w:rFonts w:ascii="Arial" w:eastAsia="Times New Roman" w:hAnsi="Arial" w:cs="Arial"/>
          <w:bCs/>
          <w:sz w:val="24"/>
          <w:szCs w:val="24"/>
        </w:rPr>
      </w:pPr>
      <w:r w:rsidRPr="007C5A8A">
        <w:rPr>
          <w:rFonts w:ascii="Arial" w:eastAsia="Times New Roman" w:hAnsi="Arial" w:cs="Arial"/>
          <w:bCs/>
          <w:sz w:val="24"/>
          <w:szCs w:val="24"/>
        </w:rPr>
        <w:t xml:space="preserve">Botswana acknowledges that employment creation is the foundation for poverty eradication and income distribution. It is on this premise that the country is committed to higher levels of productivity and technological innovation for sustained economic growth through entrepreneurship and </w:t>
      </w:r>
      <w:r w:rsidR="004E69A4" w:rsidRPr="004E69A4">
        <w:rPr>
          <w:rFonts w:ascii="Arial" w:eastAsia="Times New Roman" w:hAnsi="Arial" w:cs="Arial"/>
          <w:bCs/>
          <w:sz w:val="24"/>
          <w:szCs w:val="24"/>
        </w:rPr>
        <w:t xml:space="preserve">creation </w:t>
      </w:r>
      <w:r w:rsidR="004E69A4">
        <w:rPr>
          <w:rFonts w:ascii="Arial" w:eastAsia="Times New Roman" w:hAnsi="Arial" w:cs="Arial"/>
          <w:bCs/>
          <w:sz w:val="24"/>
          <w:szCs w:val="24"/>
        </w:rPr>
        <w:t xml:space="preserve">of </w:t>
      </w:r>
      <w:r w:rsidRPr="007C5A8A">
        <w:rPr>
          <w:rFonts w:ascii="Arial" w:eastAsia="Times New Roman" w:hAnsi="Arial" w:cs="Arial"/>
          <w:bCs/>
          <w:sz w:val="24"/>
          <w:szCs w:val="24"/>
        </w:rPr>
        <w:t>decent job</w:t>
      </w:r>
      <w:r w:rsidR="004E69A4">
        <w:rPr>
          <w:rFonts w:ascii="Arial" w:eastAsia="Times New Roman" w:hAnsi="Arial" w:cs="Arial"/>
          <w:bCs/>
          <w:sz w:val="24"/>
          <w:szCs w:val="24"/>
        </w:rPr>
        <w:t>s</w:t>
      </w:r>
      <w:r w:rsidRPr="007C5A8A">
        <w:rPr>
          <w:rFonts w:ascii="Arial" w:eastAsia="Times New Roman" w:hAnsi="Arial" w:cs="Arial"/>
          <w:bCs/>
          <w:sz w:val="24"/>
          <w:szCs w:val="24"/>
        </w:rPr>
        <w:t xml:space="preserve"> not associated with forced labor, slavery and human trafficking. This developmental objective has always been prioritized in all its successive National Development Plans. Further, the government has put in place flexible measures on change of land use for expanded economic benefits.</w:t>
      </w:r>
    </w:p>
    <w:p w:rsidR="007C5A8A" w:rsidRPr="001B5D97" w:rsidRDefault="007C5A8A" w:rsidP="001B5D97">
      <w:pPr>
        <w:autoSpaceDE w:val="0"/>
        <w:autoSpaceDN w:val="0"/>
        <w:adjustRightInd w:val="0"/>
        <w:spacing w:after="0" w:line="360" w:lineRule="auto"/>
        <w:jc w:val="both"/>
        <w:rPr>
          <w:rFonts w:ascii="Arial" w:eastAsia="Times New Roman" w:hAnsi="Arial" w:cs="Arial"/>
          <w:bCs/>
          <w:sz w:val="24"/>
          <w:szCs w:val="24"/>
        </w:rPr>
      </w:pPr>
    </w:p>
    <w:p w:rsidR="007C5A8A" w:rsidRPr="007A199D" w:rsidRDefault="00095A8F" w:rsidP="00095A8F">
      <w:pPr>
        <w:pStyle w:val="Heading3"/>
        <w:rPr>
          <w:rFonts w:ascii="Arial" w:eastAsia="Times New Roman" w:hAnsi="Arial" w:cs="Arial"/>
          <w:b/>
          <w:color w:val="auto"/>
        </w:rPr>
      </w:pPr>
      <w:r w:rsidRPr="007A199D">
        <w:rPr>
          <w:rFonts w:ascii="Arial" w:eastAsia="Times New Roman" w:hAnsi="Arial" w:cs="Arial"/>
          <w:b/>
          <w:color w:val="auto"/>
        </w:rPr>
        <w:t xml:space="preserve">3.4.1 </w:t>
      </w:r>
      <w:r w:rsidR="007C5A8A" w:rsidRPr="007A199D">
        <w:rPr>
          <w:rFonts w:ascii="Arial" w:eastAsia="Times New Roman" w:hAnsi="Arial" w:cs="Arial"/>
          <w:b/>
          <w:color w:val="auto"/>
        </w:rPr>
        <w:t>Overall Progress</w:t>
      </w:r>
    </w:p>
    <w:p w:rsidR="007C5A8A" w:rsidRPr="007C5A8A" w:rsidRDefault="007C5A8A" w:rsidP="001B5D97">
      <w:pPr>
        <w:autoSpaceDE w:val="0"/>
        <w:autoSpaceDN w:val="0"/>
        <w:adjustRightInd w:val="0"/>
        <w:spacing w:after="0" w:line="360" w:lineRule="auto"/>
        <w:jc w:val="both"/>
        <w:rPr>
          <w:rFonts w:ascii="Arial" w:eastAsia="Times New Roman" w:hAnsi="Arial" w:cs="Arial"/>
          <w:bCs/>
          <w:sz w:val="24"/>
          <w:szCs w:val="24"/>
        </w:rPr>
      </w:pPr>
      <w:r w:rsidRPr="007C5A8A">
        <w:rPr>
          <w:rFonts w:ascii="Arial" w:eastAsia="Times New Roman" w:hAnsi="Arial" w:cs="Arial"/>
          <w:bCs/>
          <w:sz w:val="24"/>
          <w:szCs w:val="24"/>
        </w:rPr>
        <w:t xml:space="preserve">The Gross Domestic Product (GDP) per capita in Botswana has increased from a record low of US$407.80 in 1960 to an all-time high of US$8,031 in 2018 – an equivalent to 64% of the world's average. This reflects a GDP per capita average of US$3,689.56 </w:t>
      </w:r>
      <w:r w:rsidR="004E69A4">
        <w:rPr>
          <w:rFonts w:ascii="Arial" w:eastAsia="Times New Roman" w:hAnsi="Arial" w:cs="Arial"/>
          <w:bCs/>
          <w:sz w:val="24"/>
          <w:szCs w:val="24"/>
        </w:rPr>
        <w:t>for</w:t>
      </w:r>
      <w:r w:rsidR="004E69A4" w:rsidRPr="007C5A8A">
        <w:rPr>
          <w:rFonts w:ascii="Arial" w:eastAsia="Times New Roman" w:hAnsi="Arial" w:cs="Arial"/>
          <w:bCs/>
          <w:sz w:val="24"/>
          <w:szCs w:val="24"/>
        </w:rPr>
        <w:t xml:space="preserve"> </w:t>
      </w:r>
      <w:r w:rsidR="004E69A4" w:rsidRPr="007C5A8A">
        <w:rPr>
          <w:rFonts w:ascii="Arial" w:eastAsia="Times New Roman" w:hAnsi="Arial" w:cs="Arial"/>
          <w:bCs/>
          <w:sz w:val="24"/>
          <w:szCs w:val="24"/>
        </w:rPr>
        <w:lastRenderedPageBreak/>
        <w:t xml:space="preserve">Botswana </w:t>
      </w:r>
      <w:r w:rsidRPr="007C5A8A">
        <w:rPr>
          <w:rFonts w:ascii="Arial" w:eastAsia="Times New Roman" w:hAnsi="Arial" w:cs="Arial"/>
          <w:bCs/>
          <w:sz w:val="24"/>
          <w:szCs w:val="24"/>
        </w:rPr>
        <w:t xml:space="preserve">between 1960 and 2018. It also important to note that the GDP annual growth rate averaged 4.62% between 1995 and first quarter of 2019, with an all-time high of 18.2% in the fourth quarter of 2002 and a record low of 10.40 percent in the third quarter of 2009. </w:t>
      </w:r>
    </w:p>
    <w:p w:rsidR="007C5A8A" w:rsidRPr="007C5A8A" w:rsidRDefault="007C5A8A" w:rsidP="001B5D97">
      <w:pPr>
        <w:autoSpaceDE w:val="0"/>
        <w:autoSpaceDN w:val="0"/>
        <w:adjustRightInd w:val="0"/>
        <w:spacing w:after="0" w:line="360" w:lineRule="auto"/>
        <w:jc w:val="both"/>
        <w:rPr>
          <w:rFonts w:ascii="Arial" w:eastAsia="Times New Roman" w:hAnsi="Arial" w:cs="Arial"/>
          <w:bCs/>
          <w:sz w:val="24"/>
          <w:szCs w:val="24"/>
        </w:rPr>
      </w:pPr>
    </w:p>
    <w:p w:rsidR="004E69A4" w:rsidRDefault="007C5A8A" w:rsidP="001B5D97">
      <w:pPr>
        <w:autoSpaceDE w:val="0"/>
        <w:autoSpaceDN w:val="0"/>
        <w:adjustRightInd w:val="0"/>
        <w:spacing w:after="0" w:line="360" w:lineRule="auto"/>
        <w:jc w:val="both"/>
        <w:rPr>
          <w:rFonts w:ascii="Arial" w:eastAsia="Times New Roman" w:hAnsi="Arial" w:cs="Arial"/>
          <w:bCs/>
          <w:sz w:val="24"/>
          <w:szCs w:val="24"/>
        </w:rPr>
      </w:pPr>
      <w:r w:rsidRPr="007C5A8A">
        <w:rPr>
          <w:rFonts w:ascii="Arial" w:eastAsia="Times New Roman" w:hAnsi="Arial" w:cs="Arial"/>
          <w:bCs/>
          <w:sz w:val="24"/>
          <w:szCs w:val="24"/>
        </w:rPr>
        <w:t>The review indicates that Botswana</w:t>
      </w:r>
      <w:r w:rsidR="004E69A4">
        <w:rPr>
          <w:rFonts w:ascii="Arial" w:eastAsia="Times New Roman" w:hAnsi="Arial" w:cs="Arial"/>
          <w:bCs/>
          <w:sz w:val="24"/>
          <w:szCs w:val="24"/>
        </w:rPr>
        <w:t xml:space="preserve"> continues to</w:t>
      </w:r>
      <w:r w:rsidRPr="007C5A8A">
        <w:rPr>
          <w:rFonts w:ascii="Arial" w:eastAsia="Times New Roman" w:hAnsi="Arial" w:cs="Arial"/>
          <w:bCs/>
          <w:sz w:val="24"/>
          <w:szCs w:val="24"/>
        </w:rPr>
        <w:t xml:space="preserve"> record low levels of productivity and competitiveness. According to the 2017/18 World Economic Forum Global Competitiveness Report, Botswana scored 19% in work ethic in the labor force, 12.7% score for inefficient government bureaucracy and 11.9% restrictive labor regulations. In recognition of these challenges, the Botswana National Productivity Centre has embarked on </w:t>
      </w:r>
      <w:proofErr w:type="spellStart"/>
      <w:r w:rsidRPr="007C5A8A">
        <w:rPr>
          <w:rFonts w:ascii="Arial" w:eastAsia="Times New Roman" w:hAnsi="Arial" w:cs="Arial"/>
          <w:bCs/>
          <w:sz w:val="24"/>
          <w:szCs w:val="24"/>
        </w:rPr>
        <w:t>programmes</w:t>
      </w:r>
      <w:proofErr w:type="spellEnd"/>
      <w:r w:rsidRPr="007C5A8A">
        <w:rPr>
          <w:rFonts w:ascii="Arial" w:eastAsia="Times New Roman" w:hAnsi="Arial" w:cs="Arial"/>
          <w:bCs/>
          <w:sz w:val="24"/>
          <w:szCs w:val="24"/>
        </w:rPr>
        <w:t xml:space="preserve"> aimed at improving efficiency, customer service, enterprise productivity and competitiveness</w:t>
      </w:r>
      <w:r w:rsidR="004E69A4">
        <w:rPr>
          <w:rFonts w:ascii="Arial" w:eastAsia="Times New Roman" w:hAnsi="Arial" w:cs="Arial"/>
          <w:bCs/>
          <w:sz w:val="24"/>
          <w:szCs w:val="24"/>
        </w:rPr>
        <w:t>,</w:t>
      </w:r>
      <w:r w:rsidRPr="007C5A8A">
        <w:rPr>
          <w:rFonts w:ascii="Arial" w:eastAsia="Times New Roman" w:hAnsi="Arial" w:cs="Arial"/>
          <w:bCs/>
          <w:sz w:val="24"/>
          <w:szCs w:val="24"/>
        </w:rPr>
        <w:t xml:space="preserve"> through various consultanc</w:t>
      </w:r>
      <w:r w:rsidR="004E69A4">
        <w:rPr>
          <w:rFonts w:ascii="Arial" w:eastAsia="Times New Roman" w:hAnsi="Arial" w:cs="Arial"/>
          <w:bCs/>
          <w:sz w:val="24"/>
          <w:szCs w:val="24"/>
        </w:rPr>
        <w:t>ies</w:t>
      </w:r>
      <w:r w:rsidRPr="007C5A8A">
        <w:rPr>
          <w:rFonts w:ascii="Arial" w:eastAsia="Times New Roman" w:hAnsi="Arial" w:cs="Arial"/>
          <w:bCs/>
          <w:sz w:val="24"/>
          <w:szCs w:val="24"/>
        </w:rPr>
        <w:t xml:space="preserve"> and capacity building initiatives. The country is engaged in resuscitating work ethic</w:t>
      </w:r>
      <w:r w:rsidR="004E69A4">
        <w:rPr>
          <w:rFonts w:ascii="Arial" w:eastAsia="Times New Roman" w:hAnsi="Arial" w:cs="Arial"/>
          <w:bCs/>
          <w:sz w:val="24"/>
          <w:szCs w:val="24"/>
        </w:rPr>
        <w:t>s</w:t>
      </w:r>
      <w:r w:rsidRPr="007C5A8A">
        <w:rPr>
          <w:rFonts w:ascii="Arial" w:eastAsia="Times New Roman" w:hAnsi="Arial" w:cs="Arial"/>
          <w:bCs/>
          <w:sz w:val="24"/>
          <w:szCs w:val="24"/>
        </w:rPr>
        <w:t xml:space="preserve"> for high impact roll-out in the Public Service through the development of productivity indicators for both local and central government.</w:t>
      </w:r>
    </w:p>
    <w:p w:rsidR="007C5A8A" w:rsidRPr="007C5A8A" w:rsidRDefault="007C5A8A" w:rsidP="001B5D97">
      <w:pPr>
        <w:autoSpaceDE w:val="0"/>
        <w:autoSpaceDN w:val="0"/>
        <w:adjustRightInd w:val="0"/>
        <w:spacing w:after="0" w:line="360" w:lineRule="auto"/>
        <w:jc w:val="both"/>
        <w:rPr>
          <w:rFonts w:ascii="Arial" w:eastAsia="Times New Roman" w:hAnsi="Arial" w:cs="Arial"/>
          <w:bCs/>
          <w:sz w:val="24"/>
          <w:szCs w:val="24"/>
        </w:rPr>
      </w:pPr>
      <w:r w:rsidRPr="007C5A8A">
        <w:rPr>
          <w:rFonts w:ascii="Arial" w:eastAsia="Times New Roman" w:hAnsi="Arial" w:cs="Arial"/>
          <w:bCs/>
          <w:sz w:val="24"/>
          <w:szCs w:val="24"/>
        </w:rPr>
        <w:t xml:space="preserve"> </w:t>
      </w:r>
    </w:p>
    <w:p w:rsidR="00095A8F" w:rsidRDefault="007C5A8A" w:rsidP="001B5D97">
      <w:pPr>
        <w:autoSpaceDE w:val="0"/>
        <w:autoSpaceDN w:val="0"/>
        <w:adjustRightInd w:val="0"/>
        <w:spacing w:after="0" w:line="360" w:lineRule="auto"/>
        <w:jc w:val="both"/>
        <w:rPr>
          <w:rFonts w:ascii="Arial" w:eastAsia="Times New Roman" w:hAnsi="Arial" w:cs="Arial"/>
          <w:bCs/>
          <w:sz w:val="24"/>
          <w:szCs w:val="24"/>
        </w:rPr>
      </w:pPr>
      <w:r w:rsidRPr="007C5A8A">
        <w:rPr>
          <w:rFonts w:ascii="Arial" w:eastAsia="Times New Roman" w:hAnsi="Arial" w:cs="Arial"/>
          <w:bCs/>
          <w:sz w:val="24"/>
          <w:szCs w:val="24"/>
        </w:rPr>
        <w:t xml:space="preserve">According to the available data, through an investment of P466 million managed by Citizen Entrepreneurial Development Agency (CEDA), a total of 2,466 jobs were created in the manufacturing, property, services and agricultural sectors during the 2018/19 financial year. During the same financial year, the Botswana Investment and Trade Centre (BITC)’s promotion drive created an additional 3, 981 jobs in the Services, Agriculture, </w:t>
      </w:r>
      <w:proofErr w:type="spellStart"/>
      <w:r w:rsidRPr="007C5A8A">
        <w:rPr>
          <w:rFonts w:ascii="Arial" w:eastAsia="Times New Roman" w:hAnsi="Arial" w:cs="Arial"/>
          <w:bCs/>
          <w:sz w:val="24"/>
          <w:szCs w:val="24"/>
        </w:rPr>
        <w:t>Agro</w:t>
      </w:r>
      <w:proofErr w:type="spellEnd"/>
      <w:r w:rsidRPr="007C5A8A">
        <w:rPr>
          <w:rFonts w:ascii="Arial" w:eastAsia="Times New Roman" w:hAnsi="Arial" w:cs="Arial"/>
          <w:bCs/>
          <w:sz w:val="24"/>
          <w:szCs w:val="24"/>
        </w:rPr>
        <w:t xml:space="preserve">-processing sectors and Manufacturing Sectors. </w:t>
      </w:r>
    </w:p>
    <w:p w:rsidR="007C5A8A" w:rsidRPr="001B5D97" w:rsidRDefault="007C5A8A" w:rsidP="001B5D97">
      <w:pPr>
        <w:autoSpaceDE w:val="0"/>
        <w:autoSpaceDN w:val="0"/>
        <w:adjustRightInd w:val="0"/>
        <w:spacing w:after="0" w:line="360" w:lineRule="auto"/>
        <w:jc w:val="both"/>
        <w:rPr>
          <w:rFonts w:ascii="Arial" w:eastAsia="Times New Roman" w:hAnsi="Arial" w:cs="Arial"/>
          <w:bCs/>
          <w:sz w:val="24"/>
          <w:szCs w:val="24"/>
        </w:rPr>
      </w:pPr>
      <w:r w:rsidRPr="007C5A8A">
        <w:rPr>
          <w:rFonts w:ascii="Arial" w:eastAsia="Times New Roman" w:hAnsi="Arial" w:cs="Arial"/>
          <w:bCs/>
          <w:sz w:val="24"/>
          <w:szCs w:val="24"/>
        </w:rPr>
        <w:t xml:space="preserve"> </w:t>
      </w:r>
    </w:p>
    <w:p w:rsidR="001B5D97" w:rsidRPr="00095A8F" w:rsidRDefault="00095A8F" w:rsidP="00095A8F">
      <w:pPr>
        <w:pStyle w:val="Heading3"/>
        <w:rPr>
          <w:rFonts w:ascii="Arial" w:eastAsia="Calibri" w:hAnsi="Arial" w:cs="Arial"/>
          <w:b/>
          <w:color w:val="auto"/>
        </w:rPr>
      </w:pPr>
      <w:r w:rsidRPr="00095A8F">
        <w:rPr>
          <w:rFonts w:ascii="Arial" w:eastAsia="Calibri" w:hAnsi="Arial" w:cs="Arial"/>
          <w:b/>
          <w:color w:val="auto"/>
        </w:rPr>
        <w:t>3.4.2 Government Intervention/</w:t>
      </w:r>
      <w:proofErr w:type="spellStart"/>
      <w:r w:rsidRPr="00095A8F">
        <w:rPr>
          <w:rFonts w:ascii="Arial" w:eastAsia="Calibri" w:hAnsi="Arial" w:cs="Arial"/>
          <w:b/>
          <w:color w:val="auto"/>
        </w:rPr>
        <w:t>Programmes</w:t>
      </w:r>
      <w:proofErr w:type="spellEnd"/>
    </w:p>
    <w:p w:rsidR="007C5A8A" w:rsidRDefault="00095A8F" w:rsidP="001B5D97">
      <w:pPr>
        <w:autoSpaceDE w:val="0"/>
        <w:autoSpaceDN w:val="0"/>
        <w:adjustRightInd w:val="0"/>
        <w:spacing w:after="0" w:line="360" w:lineRule="auto"/>
        <w:jc w:val="both"/>
        <w:rPr>
          <w:rFonts w:ascii="Arial" w:eastAsia="Calibri" w:hAnsi="Arial" w:cs="Arial"/>
          <w:sz w:val="24"/>
          <w:szCs w:val="24"/>
          <w:lang w:val="en-ZA"/>
        </w:rPr>
      </w:pPr>
      <w:r>
        <w:rPr>
          <w:rFonts w:ascii="Arial" w:eastAsia="Calibri" w:hAnsi="Arial" w:cs="Arial"/>
          <w:sz w:val="24"/>
          <w:szCs w:val="24"/>
        </w:rPr>
        <w:t>Government is</w:t>
      </w:r>
      <w:r w:rsidR="007C5A8A" w:rsidRPr="001B5D97">
        <w:rPr>
          <w:rFonts w:ascii="Arial" w:eastAsia="Calibri" w:hAnsi="Arial" w:cs="Arial"/>
          <w:sz w:val="24"/>
          <w:szCs w:val="24"/>
        </w:rPr>
        <w:t xml:space="preserve"> implementing policies that promote sustainable tourism, create job</w:t>
      </w:r>
      <w:r w:rsidR="00E82706">
        <w:rPr>
          <w:rFonts w:ascii="Arial" w:eastAsia="Calibri" w:hAnsi="Arial" w:cs="Arial"/>
          <w:sz w:val="24"/>
          <w:szCs w:val="24"/>
        </w:rPr>
        <w:t>s and promote local culture</w:t>
      </w:r>
      <w:r w:rsidR="001B5D97" w:rsidRPr="001B5D97">
        <w:rPr>
          <w:rFonts w:ascii="Arial" w:eastAsia="Calibri" w:hAnsi="Arial" w:cs="Arial"/>
          <w:sz w:val="24"/>
          <w:szCs w:val="24"/>
        </w:rPr>
        <w:t>.</w:t>
      </w:r>
      <w:r w:rsidR="007C5A8A" w:rsidRPr="001B5D97">
        <w:rPr>
          <w:rFonts w:ascii="Arial" w:eastAsia="Calibri" w:hAnsi="Arial" w:cs="Arial"/>
          <w:sz w:val="24"/>
          <w:szCs w:val="24"/>
        </w:rPr>
        <w:t xml:space="preserve"> To that end, the Biodiversity and Ecosystem Conservation sector </w:t>
      </w:r>
      <w:r w:rsidR="007C5A8A" w:rsidRPr="001B5D97">
        <w:rPr>
          <w:rFonts w:ascii="Arial" w:eastAsia="Calibri" w:hAnsi="Arial" w:cs="Arial"/>
          <w:sz w:val="24"/>
          <w:szCs w:val="24"/>
          <w:lang w:val="en-ZA"/>
        </w:rPr>
        <w:t>created 9, 512 jobs and accrued revenue amounting to P2, 008, 191.00. Further</w:t>
      </w:r>
      <w:r w:rsidR="00CC15BF">
        <w:rPr>
          <w:rFonts w:ascii="Arial" w:eastAsia="Calibri" w:hAnsi="Arial" w:cs="Arial"/>
          <w:sz w:val="24"/>
          <w:szCs w:val="24"/>
          <w:lang w:val="en-ZA"/>
        </w:rPr>
        <w:t>more</w:t>
      </w:r>
      <w:r w:rsidR="007C5A8A" w:rsidRPr="001B5D97">
        <w:rPr>
          <w:rFonts w:ascii="Arial" w:eastAsia="Calibri" w:hAnsi="Arial" w:cs="Arial"/>
          <w:sz w:val="24"/>
          <w:szCs w:val="24"/>
          <w:lang w:val="en-ZA"/>
        </w:rPr>
        <w:t xml:space="preserve">, at the time of the review, the government had licensed 2,107 tourism enterprises, of which 1,577 are wholly citizen owned, 269 joint ventures and 261 non–citizen owned.  </w:t>
      </w:r>
    </w:p>
    <w:p w:rsidR="00CC15BF" w:rsidRDefault="00CC15BF" w:rsidP="001B5D97">
      <w:pPr>
        <w:autoSpaceDE w:val="0"/>
        <w:autoSpaceDN w:val="0"/>
        <w:adjustRightInd w:val="0"/>
        <w:spacing w:after="0" w:line="360" w:lineRule="auto"/>
        <w:jc w:val="both"/>
        <w:rPr>
          <w:rFonts w:ascii="Arial" w:eastAsia="Calibri" w:hAnsi="Arial" w:cs="Arial"/>
          <w:sz w:val="24"/>
          <w:szCs w:val="24"/>
          <w:lang w:val="en-ZA"/>
        </w:rPr>
      </w:pPr>
    </w:p>
    <w:p w:rsidR="001B5D97" w:rsidRPr="001B5D97" w:rsidRDefault="001B5D97" w:rsidP="001B5D97">
      <w:pPr>
        <w:autoSpaceDE w:val="0"/>
        <w:autoSpaceDN w:val="0"/>
        <w:adjustRightInd w:val="0"/>
        <w:spacing w:after="0" w:line="360" w:lineRule="auto"/>
        <w:jc w:val="both"/>
        <w:rPr>
          <w:rFonts w:ascii="Arial" w:eastAsia="Calibri" w:hAnsi="Arial" w:cs="Arial"/>
          <w:sz w:val="24"/>
          <w:szCs w:val="24"/>
          <w:lang w:val="en-ZA"/>
        </w:rPr>
      </w:pPr>
      <w:r w:rsidRPr="001B5D97">
        <w:rPr>
          <w:rFonts w:ascii="Arial" w:eastAsia="Times New Roman" w:hAnsi="Arial" w:cs="Arial"/>
          <w:bCs/>
          <w:sz w:val="24"/>
          <w:szCs w:val="24"/>
        </w:rPr>
        <w:lastRenderedPageBreak/>
        <w:t xml:space="preserve">As part of economic diversification, </w:t>
      </w:r>
      <w:r w:rsidR="00CC15BF">
        <w:rPr>
          <w:rFonts w:ascii="Arial" w:eastAsia="Times New Roman" w:hAnsi="Arial" w:cs="Arial"/>
          <w:bCs/>
          <w:sz w:val="24"/>
          <w:szCs w:val="24"/>
        </w:rPr>
        <w:t>G</w:t>
      </w:r>
      <w:r w:rsidRPr="001B5D97">
        <w:rPr>
          <w:rFonts w:ascii="Arial" w:eastAsia="Times New Roman" w:hAnsi="Arial" w:cs="Arial"/>
          <w:bCs/>
          <w:sz w:val="24"/>
          <w:szCs w:val="24"/>
        </w:rPr>
        <w:t>overnment ventur</w:t>
      </w:r>
      <w:r w:rsidR="00CC15BF">
        <w:rPr>
          <w:rFonts w:ascii="Arial" w:eastAsia="Times New Roman" w:hAnsi="Arial" w:cs="Arial"/>
          <w:bCs/>
          <w:sz w:val="24"/>
          <w:szCs w:val="24"/>
        </w:rPr>
        <w:t>es</w:t>
      </w:r>
      <w:r w:rsidRPr="001B5D97">
        <w:rPr>
          <w:rFonts w:ascii="Arial" w:eastAsia="Times New Roman" w:hAnsi="Arial" w:cs="Arial"/>
          <w:bCs/>
          <w:sz w:val="24"/>
          <w:szCs w:val="24"/>
        </w:rPr>
        <w:t xml:space="preserve"> into development of tourism clusters</w:t>
      </w:r>
      <w:r w:rsidRPr="001B5D97">
        <w:rPr>
          <w:rFonts w:ascii="Arial" w:eastAsia="Calibri" w:hAnsi="Arial" w:cs="Arial"/>
          <w:sz w:val="24"/>
          <w:szCs w:val="24"/>
          <w:lang w:val="en-ZA"/>
        </w:rPr>
        <w:t>. These clusters are guided by the</w:t>
      </w:r>
      <w:r w:rsidR="00CC15BF">
        <w:rPr>
          <w:rFonts w:ascii="Arial" w:eastAsia="Calibri" w:hAnsi="Arial" w:cs="Arial"/>
          <w:sz w:val="24"/>
          <w:szCs w:val="24"/>
          <w:lang w:val="en-ZA"/>
        </w:rPr>
        <w:t xml:space="preserve"> recently reviewed</w:t>
      </w:r>
      <w:r w:rsidRPr="001B5D97">
        <w:rPr>
          <w:rFonts w:ascii="Arial" w:eastAsia="Calibri" w:hAnsi="Arial" w:cs="Arial"/>
          <w:sz w:val="24"/>
          <w:szCs w:val="24"/>
          <w:lang w:val="en-ZA"/>
        </w:rPr>
        <w:t xml:space="preserve"> Tourism Policy. The policy emphasises mainstreaming of tourism into planning processes with meaningful citizen and community participation in the industry. It encourages public-private partnerships and product diversification. </w:t>
      </w:r>
      <w:r w:rsidR="00CC15BF">
        <w:rPr>
          <w:rFonts w:ascii="Arial" w:eastAsia="Calibri" w:hAnsi="Arial" w:cs="Arial"/>
          <w:sz w:val="24"/>
          <w:szCs w:val="24"/>
          <w:lang w:val="en-ZA"/>
        </w:rPr>
        <w:t>G</w:t>
      </w:r>
      <w:r w:rsidRPr="001B5D97">
        <w:rPr>
          <w:rFonts w:ascii="Arial" w:eastAsia="Calibri" w:hAnsi="Arial" w:cs="Arial"/>
          <w:sz w:val="24"/>
          <w:szCs w:val="24"/>
          <w:lang w:val="en-ZA"/>
        </w:rPr>
        <w:t>overnment is also developing a Master Plan for the development of heritage tourism in the south of Botswana</w:t>
      </w:r>
      <w:r w:rsidRPr="001B5D97">
        <w:rPr>
          <w:rFonts w:ascii="Arial" w:eastAsia="Times New Roman" w:hAnsi="Arial" w:cs="Arial"/>
          <w:bCs/>
          <w:sz w:val="24"/>
          <w:szCs w:val="24"/>
        </w:rPr>
        <w:t xml:space="preserve">, </w:t>
      </w:r>
      <w:r w:rsidRPr="001B5D97">
        <w:rPr>
          <w:rFonts w:ascii="Arial" w:eastAsia="Calibri" w:hAnsi="Arial" w:cs="Arial"/>
          <w:bCs/>
          <w:sz w:val="24"/>
          <w:szCs w:val="24"/>
        </w:rPr>
        <w:t>reviewing the Cinematography Act, developing the National Arts Council Act and the accession to the UNESCO 2005 Convention on the Promotion of the Diversity of Cultural Expressions</w:t>
      </w:r>
      <w:r w:rsidR="00CC15BF">
        <w:rPr>
          <w:rFonts w:ascii="Arial" w:eastAsia="Calibri" w:hAnsi="Arial" w:cs="Arial"/>
          <w:bCs/>
          <w:sz w:val="24"/>
          <w:szCs w:val="24"/>
        </w:rPr>
        <w:t>,</w:t>
      </w:r>
      <w:r w:rsidRPr="001B5D97">
        <w:rPr>
          <w:rFonts w:ascii="Arial" w:eastAsia="Calibri" w:hAnsi="Arial" w:cs="Arial"/>
          <w:bCs/>
          <w:sz w:val="24"/>
          <w:szCs w:val="24"/>
        </w:rPr>
        <w:t xml:space="preserve"> as part of the efforts </w:t>
      </w:r>
      <w:r w:rsidR="00CC15BF">
        <w:rPr>
          <w:rFonts w:ascii="Arial" w:eastAsia="Calibri" w:hAnsi="Arial" w:cs="Arial"/>
          <w:bCs/>
          <w:sz w:val="24"/>
          <w:szCs w:val="24"/>
        </w:rPr>
        <w:t xml:space="preserve">to </w:t>
      </w:r>
      <w:r w:rsidRPr="001B5D97">
        <w:rPr>
          <w:rFonts w:ascii="Arial" w:eastAsia="Calibri" w:hAnsi="Arial" w:cs="Arial"/>
          <w:bCs/>
          <w:sz w:val="24"/>
          <w:szCs w:val="24"/>
        </w:rPr>
        <w:t>creat</w:t>
      </w:r>
      <w:r w:rsidR="00CC15BF">
        <w:rPr>
          <w:rFonts w:ascii="Arial" w:eastAsia="Calibri" w:hAnsi="Arial" w:cs="Arial"/>
          <w:bCs/>
          <w:sz w:val="24"/>
          <w:szCs w:val="24"/>
        </w:rPr>
        <w:t>e</w:t>
      </w:r>
      <w:r w:rsidRPr="001B5D97">
        <w:rPr>
          <w:rFonts w:ascii="Arial" w:eastAsia="Calibri" w:hAnsi="Arial" w:cs="Arial"/>
          <w:bCs/>
          <w:sz w:val="24"/>
          <w:szCs w:val="24"/>
        </w:rPr>
        <w:t xml:space="preserve"> jobs in the cultural and creative industries.</w:t>
      </w:r>
      <w:r w:rsidRPr="001B5D97">
        <w:rPr>
          <w:rFonts w:ascii="Arial" w:eastAsia="Calibri" w:hAnsi="Arial" w:cs="Arial"/>
          <w:sz w:val="24"/>
          <w:szCs w:val="24"/>
          <w:lang w:val="en-ZA"/>
        </w:rPr>
        <w:t xml:space="preserve"> </w:t>
      </w:r>
      <w:r w:rsidR="00CC15BF">
        <w:rPr>
          <w:rFonts w:ascii="Arial" w:eastAsia="Calibri" w:hAnsi="Arial" w:cs="Arial"/>
          <w:sz w:val="24"/>
          <w:szCs w:val="24"/>
          <w:lang w:val="en-ZA"/>
        </w:rPr>
        <w:t>T</w:t>
      </w:r>
      <w:r w:rsidRPr="001B5D97">
        <w:rPr>
          <w:rFonts w:ascii="Arial" w:eastAsia="Calibri" w:hAnsi="Arial" w:cs="Arial"/>
          <w:sz w:val="24"/>
          <w:szCs w:val="24"/>
          <w:lang w:val="en-ZA"/>
        </w:rPr>
        <w:t>hese tourism initiatives will</w:t>
      </w:r>
      <w:r w:rsidR="00CC15BF">
        <w:rPr>
          <w:rFonts w:ascii="Arial" w:eastAsia="Calibri" w:hAnsi="Arial" w:cs="Arial"/>
          <w:sz w:val="24"/>
          <w:szCs w:val="24"/>
          <w:lang w:val="en-ZA"/>
        </w:rPr>
        <w:t xml:space="preserve"> also</w:t>
      </w:r>
      <w:r w:rsidRPr="001B5D97">
        <w:rPr>
          <w:rFonts w:ascii="Arial" w:eastAsia="Calibri" w:hAnsi="Arial" w:cs="Arial"/>
          <w:sz w:val="24"/>
          <w:szCs w:val="24"/>
          <w:lang w:val="en-ZA"/>
        </w:rPr>
        <w:t xml:space="preserve"> ensure that the country’s Cultural Property is protected.</w:t>
      </w:r>
    </w:p>
    <w:p w:rsidR="001B5D97" w:rsidRDefault="001B5D97" w:rsidP="001B5D97">
      <w:pPr>
        <w:autoSpaceDE w:val="0"/>
        <w:autoSpaceDN w:val="0"/>
        <w:adjustRightInd w:val="0"/>
        <w:spacing w:after="0" w:line="360" w:lineRule="auto"/>
        <w:jc w:val="both"/>
        <w:rPr>
          <w:rFonts w:ascii="Arial" w:eastAsia="Times New Roman" w:hAnsi="Arial" w:cs="Arial"/>
          <w:bCs/>
          <w:sz w:val="24"/>
          <w:szCs w:val="24"/>
        </w:rPr>
      </w:pPr>
    </w:p>
    <w:p w:rsidR="00CC15BF" w:rsidRPr="007C5A8A" w:rsidRDefault="00CC15BF" w:rsidP="001B5D97">
      <w:pPr>
        <w:autoSpaceDE w:val="0"/>
        <w:autoSpaceDN w:val="0"/>
        <w:adjustRightInd w:val="0"/>
        <w:spacing w:after="0" w:line="360" w:lineRule="auto"/>
        <w:jc w:val="both"/>
        <w:rPr>
          <w:rFonts w:ascii="Arial" w:eastAsia="Times New Roman" w:hAnsi="Arial" w:cs="Arial"/>
          <w:bCs/>
          <w:sz w:val="24"/>
          <w:szCs w:val="24"/>
        </w:rPr>
      </w:pPr>
    </w:p>
    <w:p w:rsidR="00E82706" w:rsidRPr="007A199D" w:rsidRDefault="007826B5" w:rsidP="00E82706">
      <w:pPr>
        <w:pStyle w:val="Heading2"/>
        <w:rPr>
          <w:rFonts w:ascii="Arial" w:hAnsi="Arial" w:cs="Arial"/>
          <w:b/>
          <w:color w:val="auto"/>
          <w:sz w:val="28"/>
          <w:szCs w:val="28"/>
        </w:rPr>
      </w:pPr>
      <w:r w:rsidRPr="007A199D">
        <w:rPr>
          <w:rFonts w:ascii="Arial" w:hAnsi="Arial" w:cs="Arial"/>
          <w:b/>
          <w:color w:val="auto"/>
          <w:sz w:val="28"/>
          <w:szCs w:val="28"/>
        </w:rPr>
        <w:t>3.5 Goal 17</w:t>
      </w:r>
      <w:r w:rsidR="0060407A" w:rsidRPr="007A199D">
        <w:rPr>
          <w:rFonts w:ascii="Arial" w:hAnsi="Arial" w:cs="Arial"/>
          <w:b/>
          <w:color w:val="auto"/>
          <w:sz w:val="28"/>
          <w:szCs w:val="28"/>
        </w:rPr>
        <w:t>:</w:t>
      </w:r>
      <w:r w:rsidRPr="007A199D">
        <w:rPr>
          <w:rFonts w:ascii="Arial" w:hAnsi="Arial" w:cs="Arial"/>
          <w:b/>
          <w:color w:val="auto"/>
          <w:sz w:val="28"/>
          <w:szCs w:val="28"/>
        </w:rPr>
        <w:t xml:space="preserve"> Full Gender Equality in All Spheres of Life</w:t>
      </w:r>
      <w:r w:rsidR="00E82706" w:rsidRPr="007A199D">
        <w:rPr>
          <w:rFonts w:ascii="Arial" w:hAnsi="Arial" w:cs="Arial"/>
          <w:b/>
          <w:color w:val="auto"/>
          <w:sz w:val="28"/>
          <w:szCs w:val="28"/>
        </w:rPr>
        <w:t xml:space="preserve"> </w:t>
      </w:r>
    </w:p>
    <w:p w:rsidR="00E82706" w:rsidRDefault="00E82706" w:rsidP="00E82706">
      <w:pPr>
        <w:spacing w:after="0" w:line="360" w:lineRule="auto"/>
        <w:jc w:val="both"/>
        <w:rPr>
          <w:rFonts w:ascii="Arial" w:eastAsia="Calibri" w:hAnsi="Arial" w:cs="Arial"/>
          <w:sz w:val="24"/>
          <w:szCs w:val="24"/>
        </w:rPr>
      </w:pPr>
    </w:p>
    <w:p w:rsidR="00E82706" w:rsidRDefault="00E82706" w:rsidP="00E82706">
      <w:pPr>
        <w:spacing w:after="0" w:line="360" w:lineRule="auto"/>
        <w:jc w:val="both"/>
        <w:rPr>
          <w:rFonts w:ascii="Arial" w:eastAsia="Times New Roman" w:hAnsi="Arial" w:cs="Arial"/>
          <w:bCs/>
          <w:sz w:val="24"/>
          <w:szCs w:val="24"/>
        </w:rPr>
      </w:pPr>
      <w:r>
        <w:rPr>
          <w:rFonts w:ascii="Arial" w:eastAsia="Calibri" w:hAnsi="Arial" w:cs="Arial"/>
          <w:sz w:val="24"/>
          <w:szCs w:val="24"/>
        </w:rPr>
        <w:t>T</w:t>
      </w:r>
      <w:r w:rsidRPr="00E82706">
        <w:rPr>
          <w:rFonts w:ascii="Arial" w:eastAsia="Calibri" w:hAnsi="Arial" w:cs="Arial"/>
          <w:sz w:val="24"/>
          <w:szCs w:val="24"/>
        </w:rPr>
        <w:t>he Abolition of Marital Power Act enacted in 2004 made women equal to men in marriage, property holding, domicile and the guardianship of minor children</w:t>
      </w:r>
      <w:r w:rsidRPr="00E82706">
        <w:rPr>
          <w:rFonts w:ascii="Arial" w:eastAsia="Calibri" w:hAnsi="Arial" w:cs="Arial"/>
          <w:bCs/>
          <w:sz w:val="24"/>
          <w:szCs w:val="24"/>
        </w:rPr>
        <w:t xml:space="preserve">. Further, </w:t>
      </w:r>
      <w:r w:rsidRPr="00E82706">
        <w:rPr>
          <w:rFonts w:ascii="Arial" w:eastAsia="Calibri" w:hAnsi="Arial" w:cs="Arial"/>
          <w:sz w:val="24"/>
          <w:szCs w:val="24"/>
        </w:rPr>
        <w:t>in 2012, in a landmark case, the High Court ruled</w:t>
      </w:r>
      <w:r w:rsidR="00CC15BF">
        <w:rPr>
          <w:rFonts w:ascii="Arial" w:eastAsia="Calibri" w:hAnsi="Arial" w:cs="Arial"/>
          <w:sz w:val="24"/>
          <w:szCs w:val="24"/>
        </w:rPr>
        <w:t xml:space="preserve"> out that,</w:t>
      </w:r>
      <w:r w:rsidRPr="00E82706">
        <w:rPr>
          <w:rFonts w:ascii="Arial" w:eastAsia="Calibri" w:hAnsi="Arial" w:cs="Arial"/>
          <w:sz w:val="24"/>
          <w:szCs w:val="24"/>
        </w:rPr>
        <w:t xml:space="preserve"> the customary inheritance law that discriminated against women was unconstitutional. The UNDP Human Development Report indicated that Botswana’s Gender Inequality Index (GII) was 0.486 in 2014. This ranked the country as number 100 out of 149 countries. At the time of the review, the </w:t>
      </w:r>
      <w:r w:rsidRPr="00E82706">
        <w:rPr>
          <w:rFonts w:ascii="Arial" w:eastAsia="Times New Roman" w:hAnsi="Arial" w:cs="Arial"/>
          <w:bCs/>
          <w:sz w:val="24"/>
          <w:szCs w:val="24"/>
        </w:rPr>
        <w:t>Marriage Act was under review to provide for amongst others, the registration of religious and traditional marriages, monitoring and regulation of appointed Marriage Officers, as well as to review the age of consent for marriages.</w:t>
      </w:r>
    </w:p>
    <w:p w:rsidR="00E82706" w:rsidRDefault="00E82706" w:rsidP="00E82706">
      <w:pPr>
        <w:spacing w:after="0" w:line="360" w:lineRule="auto"/>
        <w:jc w:val="both"/>
        <w:rPr>
          <w:rFonts w:ascii="Arial" w:eastAsia="Times New Roman" w:hAnsi="Arial" w:cs="Arial"/>
          <w:bCs/>
          <w:sz w:val="24"/>
          <w:szCs w:val="24"/>
        </w:rPr>
      </w:pPr>
    </w:p>
    <w:p w:rsidR="00E82706" w:rsidRPr="00E82706" w:rsidRDefault="00E82706" w:rsidP="00E82706">
      <w:pPr>
        <w:pStyle w:val="Heading3"/>
        <w:rPr>
          <w:rFonts w:ascii="Arial" w:eastAsia="Calibri" w:hAnsi="Arial" w:cs="Arial"/>
          <w:color w:val="auto"/>
        </w:rPr>
      </w:pPr>
      <w:r w:rsidRPr="00E82706">
        <w:rPr>
          <w:rFonts w:ascii="Arial" w:eastAsia="Times New Roman" w:hAnsi="Arial" w:cs="Arial"/>
          <w:b/>
          <w:color w:val="auto"/>
        </w:rPr>
        <w:t xml:space="preserve">3.5.1 </w:t>
      </w:r>
      <w:r>
        <w:rPr>
          <w:rFonts w:ascii="Arial" w:eastAsia="Times New Roman" w:hAnsi="Arial" w:cs="Arial"/>
          <w:b/>
          <w:color w:val="auto"/>
        </w:rPr>
        <w:t>Overa</w:t>
      </w:r>
      <w:r w:rsidR="00370866">
        <w:rPr>
          <w:rFonts w:ascii="Arial" w:eastAsia="Times New Roman" w:hAnsi="Arial" w:cs="Arial"/>
          <w:b/>
          <w:color w:val="auto"/>
        </w:rPr>
        <w:t>l</w:t>
      </w:r>
      <w:r>
        <w:rPr>
          <w:rFonts w:ascii="Arial" w:eastAsia="Times New Roman" w:hAnsi="Arial" w:cs="Arial"/>
          <w:b/>
          <w:color w:val="auto"/>
        </w:rPr>
        <w:t xml:space="preserve">l </w:t>
      </w:r>
      <w:r w:rsidRPr="00E82706">
        <w:rPr>
          <w:rFonts w:ascii="Arial" w:eastAsia="Times New Roman" w:hAnsi="Arial" w:cs="Arial"/>
          <w:b/>
          <w:color w:val="auto"/>
        </w:rPr>
        <w:t xml:space="preserve">Progress </w:t>
      </w:r>
      <w:r w:rsidRPr="00E82706">
        <w:rPr>
          <w:rFonts w:ascii="Arial" w:eastAsia="Calibri" w:hAnsi="Arial" w:cs="Arial"/>
          <w:color w:val="auto"/>
        </w:rPr>
        <w:t xml:space="preserve"> </w:t>
      </w:r>
    </w:p>
    <w:p w:rsidR="00E82706" w:rsidRPr="00E82706" w:rsidRDefault="00E82706" w:rsidP="00E82706">
      <w:pPr>
        <w:spacing w:after="0" w:line="360" w:lineRule="auto"/>
        <w:jc w:val="both"/>
        <w:rPr>
          <w:rFonts w:ascii="Arial" w:eastAsia="Times New Roman" w:hAnsi="Arial" w:cs="Arial"/>
          <w:bCs/>
          <w:sz w:val="24"/>
          <w:szCs w:val="24"/>
        </w:rPr>
      </w:pPr>
      <w:r w:rsidRPr="00E82706">
        <w:rPr>
          <w:rFonts w:ascii="Arial" w:eastAsia="Calibri" w:hAnsi="Arial" w:cs="Arial"/>
          <w:sz w:val="24"/>
          <w:szCs w:val="24"/>
        </w:rPr>
        <w:t xml:space="preserve">Botswana recorded significant progress </w:t>
      </w:r>
      <w:r w:rsidR="004A13DC">
        <w:rPr>
          <w:rFonts w:ascii="Arial" w:eastAsia="Calibri" w:hAnsi="Arial" w:cs="Arial"/>
          <w:sz w:val="24"/>
          <w:szCs w:val="24"/>
        </w:rPr>
        <w:t>i</w:t>
      </w:r>
      <w:r w:rsidRPr="00E82706">
        <w:rPr>
          <w:rFonts w:ascii="Arial" w:eastAsia="Calibri" w:hAnsi="Arial" w:cs="Arial"/>
          <w:sz w:val="24"/>
          <w:szCs w:val="24"/>
        </w:rPr>
        <w:t xml:space="preserve">n gender equality in education, leading to parity in female and male enrolment in primary and secondary education, as well as in adult literacy rates. Although there has been an increase in the proportion of economically active women, their earned income is much less than that of men. Women also continue to have low access to property ownership and financial credit and their participation in </w:t>
      </w:r>
      <w:r w:rsidRPr="00E82706">
        <w:rPr>
          <w:rFonts w:ascii="Arial" w:eastAsia="Calibri" w:hAnsi="Arial" w:cs="Arial"/>
          <w:sz w:val="24"/>
          <w:szCs w:val="24"/>
        </w:rPr>
        <w:lastRenderedPageBreak/>
        <w:t>politics is below the</w:t>
      </w:r>
      <w:r w:rsidR="004A13DC">
        <w:rPr>
          <w:rFonts w:ascii="Arial" w:eastAsia="Calibri" w:hAnsi="Arial" w:cs="Arial"/>
          <w:sz w:val="24"/>
          <w:szCs w:val="24"/>
        </w:rPr>
        <w:t xml:space="preserve"> initial</w:t>
      </w:r>
      <w:r w:rsidRPr="00E82706">
        <w:rPr>
          <w:rFonts w:ascii="Arial" w:eastAsia="Calibri" w:hAnsi="Arial" w:cs="Arial"/>
          <w:sz w:val="24"/>
          <w:szCs w:val="24"/>
        </w:rPr>
        <w:t xml:space="preserve"> SADC threshold of 30%. This underlines the need for strong advocacy and progressive legislative reforms.</w:t>
      </w:r>
      <w:r w:rsidRPr="00E82706">
        <w:rPr>
          <w:rFonts w:ascii="Arial" w:eastAsia="Times New Roman" w:hAnsi="Arial" w:cs="Arial"/>
          <w:bCs/>
          <w:sz w:val="24"/>
          <w:szCs w:val="24"/>
        </w:rPr>
        <w:t xml:space="preserve"> </w:t>
      </w:r>
    </w:p>
    <w:p w:rsidR="00E82706" w:rsidRPr="00E82706" w:rsidRDefault="00E82706" w:rsidP="00E82706">
      <w:pPr>
        <w:spacing w:after="0" w:line="360" w:lineRule="auto"/>
        <w:jc w:val="both"/>
        <w:rPr>
          <w:rFonts w:ascii="Arial" w:eastAsia="Times New Roman" w:hAnsi="Arial" w:cs="Arial"/>
          <w:bCs/>
          <w:sz w:val="24"/>
          <w:szCs w:val="24"/>
        </w:rPr>
      </w:pPr>
    </w:p>
    <w:p w:rsidR="00E82706" w:rsidRPr="00E82706" w:rsidRDefault="00E82706" w:rsidP="00E82706">
      <w:pPr>
        <w:spacing w:after="0" w:line="360" w:lineRule="auto"/>
        <w:jc w:val="both"/>
        <w:rPr>
          <w:rFonts w:ascii="Arial" w:eastAsia="Calibri" w:hAnsi="Arial" w:cs="Arial"/>
          <w:bCs/>
          <w:sz w:val="24"/>
          <w:szCs w:val="24"/>
          <w:lang w:val="en-GB"/>
        </w:rPr>
      </w:pPr>
      <w:r w:rsidRPr="00E82706">
        <w:rPr>
          <w:rFonts w:ascii="Arial" w:eastAsia="Times New Roman" w:hAnsi="Arial" w:cs="Arial"/>
          <w:bCs/>
          <w:sz w:val="24"/>
          <w:szCs w:val="24"/>
        </w:rPr>
        <w:t>The Government of Botswana also acknowledges that Gender based Violence (</w:t>
      </w:r>
      <w:r w:rsidRPr="00E82706">
        <w:rPr>
          <w:rFonts w:ascii="Arial" w:eastAsia="Calibri" w:hAnsi="Arial" w:cs="Arial"/>
          <w:spacing w:val="2"/>
          <w:w w:val="105"/>
          <w:sz w:val="24"/>
          <w:szCs w:val="24"/>
          <w:lang w:bidi="en-US"/>
        </w:rPr>
        <w:t>GBV)</w:t>
      </w:r>
      <w:r w:rsidRPr="00E82706">
        <w:rPr>
          <w:rFonts w:ascii="Arial" w:eastAsia="Calibri" w:hAnsi="Arial" w:cs="Arial"/>
          <w:spacing w:val="-7"/>
          <w:w w:val="105"/>
          <w:sz w:val="24"/>
          <w:szCs w:val="24"/>
          <w:lang w:bidi="en-US"/>
        </w:rPr>
        <w:t xml:space="preserve"> </w:t>
      </w:r>
      <w:r w:rsidRPr="00E82706">
        <w:rPr>
          <w:rFonts w:ascii="Arial" w:eastAsia="Calibri" w:hAnsi="Arial" w:cs="Arial"/>
          <w:w w:val="105"/>
          <w:sz w:val="24"/>
          <w:szCs w:val="24"/>
          <w:lang w:bidi="en-US"/>
        </w:rPr>
        <w:t>is</w:t>
      </w:r>
      <w:r w:rsidRPr="00E82706">
        <w:rPr>
          <w:rFonts w:ascii="Arial" w:eastAsia="Calibri" w:hAnsi="Arial" w:cs="Arial"/>
          <w:spacing w:val="-7"/>
          <w:w w:val="105"/>
          <w:sz w:val="24"/>
          <w:szCs w:val="24"/>
          <w:lang w:bidi="en-US"/>
        </w:rPr>
        <w:t xml:space="preserve"> </w:t>
      </w:r>
      <w:r w:rsidRPr="00E82706">
        <w:rPr>
          <w:rFonts w:ascii="Arial" w:eastAsia="Calibri" w:hAnsi="Arial" w:cs="Arial"/>
          <w:w w:val="105"/>
          <w:sz w:val="24"/>
          <w:szCs w:val="24"/>
          <w:lang w:bidi="en-US"/>
        </w:rPr>
        <w:t>one</w:t>
      </w:r>
      <w:r w:rsidRPr="00E82706">
        <w:rPr>
          <w:rFonts w:ascii="Arial" w:eastAsia="Calibri" w:hAnsi="Arial" w:cs="Arial"/>
          <w:spacing w:val="-7"/>
          <w:w w:val="105"/>
          <w:sz w:val="24"/>
          <w:szCs w:val="24"/>
          <w:lang w:bidi="en-US"/>
        </w:rPr>
        <w:t xml:space="preserve"> </w:t>
      </w:r>
      <w:r w:rsidRPr="00E82706">
        <w:rPr>
          <w:rFonts w:ascii="Arial" w:eastAsia="Calibri" w:hAnsi="Arial" w:cs="Arial"/>
          <w:w w:val="105"/>
          <w:sz w:val="24"/>
          <w:szCs w:val="24"/>
          <w:lang w:bidi="en-US"/>
        </w:rPr>
        <w:t>of</w:t>
      </w:r>
      <w:r w:rsidRPr="00E82706">
        <w:rPr>
          <w:rFonts w:ascii="Arial" w:eastAsia="Calibri" w:hAnsi="Arial" w:cs="Arial"/>
          <w:spacing w:val="-7"/>
          <w:w w:val="105"/>
          <w:sz w:val="24"/>
          <w:szCs w:val="24"/>
          <w:lang w:bidi="en-US"/>
        </w:rPr>
        <w:t xml:space="preserve"> </w:t>
      </w:r>
      <w:r w:rsidRPr="00E82706">
        <w:rPr>
          <w:rFonts w:ascii="Arial" w:eastAsia="Calibri" w:hAnsi="Arial" w:cs="Arial"/>
          <w:w w:val="105"/>
          <w:sz w:val="24"/>
          <w:szCs w:val="24"/>
          <w:lang w:bidi="en-US"/>
        </w:rPr>
        <w:t>the</w:t>
      </w:r>
      <w:r w:rsidRPr="00E82706">
        <w:rPr>
          <w:rFonts w:ascii="Arial" w:eastAsia="Calibri" w:hAnsi="Arial" w:cs="Arial"/>
          <w:spacing w:val="-7"/>
          <w:w w:val="105"/>
          <w:sz w:val="24"/>
          <w:szCs w:val="24"/>
          <w:lang w:bidi="en-US"/>
        </w:rPr>
        <w:t xml:space="preserve"> </w:t>
      </w:r>
      <w:r w:rsidRPr="00E82706">
        <w:rPr>
          <w:rFonts w:ascii="Arial" w:eastAsia="Calibri" w:hAnsi="Arial" w:cs="Arial"/>
          <w:w w:val="105"/>
          <w:sz w:val="24"/>
          <w:szCs w:val="24"/>
          <w:lang w:bidi="en-US"/>
        </w:rPr>
        <w:t>most</w:t>
      </w:r>
      <w:r w:rsidRPr="00E82706">
        <w:rPr>
          <w:rFonts w:ascii="Arial" w:eastAsia="Calibri" w:hAnsi="Arial" w:cs="Arial"/>
          <w:spacing w:val="-6"/>
          <w:w w:val="105"/>
          <w:sz w:val="24"/>
          <w:szCs w:val="24"/>
          <w:lang w:bidi="en-US"/>
        </w:rPr>
        <w:t xml:space="preserve"> </w:t>
      </w:r>
      <w:r w:rsidRPr="00E82706">
        <w:rPr>
          <w:rFonts w:ascii="Arial" w:eastAsia="Calibri" w:hAnsi="Arial" w:cs="Arial"/>
          <w:w w:val="105"/>
          <w:sz w:val="24"/>
          <w:szCs w:val="24"/>
          <w:lang w:bidi="en-US"/>
        </w:rPr>
        <w:t>common</w:t>
      </w:r>
      <w:r w:rsidRPr="00E82706">
        <w:rPr>
          <w:rFonts w:ascii="Arial" w:eastAsia="Calibri" w:hAnsi="Arial" w:cs="Arial"/>
          <w:spacing w:val="-7"/>
          <w:w w:val="105"/>
          <w:sz w:val="24"/>
          <w:szCs w:val="24"/>
          <w:lang w:bidi="en-US"/>
        </w:rPr>
        <w:t xml:space="preserve"> </w:t>
      </w:r>
      <w:r w:rsidRPr="00E82706">
        <w:rPr>
          <w:rFonts w:ascii="Arial" w:eastAsia="Calibri" w:hAnsi="Arial" w:cs="Arial"/>
          <w:w w:val="105"/>
          <w:sz w:val="24"/>
          <w:szCs w:val="24"/>
          <w:lang w:bidi="en-US"/>
        </w:rPr>
        <w:t>human</w:t>
      </w:r>
      <w:r w:rsidRPr="00E82706">
        <w:rPr>
          <w:rFonts w:ascii="Arial" w:eastAsia="Calibri" w:hAnsi="Arial" w:cs="Arial"/>
          <w:spacing w:val="-7"/>
          <w:w w:val="105"/>
          <w:sz w:val="24"/>
          <w:szCs w:val="24"/>
          <w:lang w:bidi="en-US"/>
        </w:rPr>
        <w:t xml:space="preserve"> </w:t>
      </w:r>
      <w:r w:rsidRPr="00E82706">
        <w:rPr>
          <w:rFonts w:ascii="Arial" w:eastAsia="Calibri" w:hAnsi="Arial" w:cs="Arial"/>
          <w:w w:val="105"/>
          <w:sz w:val="24"/>
          <w:szCs w:val="24"/>
          <w:lang w:bidi="en-US"/>
        </w:rPr>
        <w:t>rights</w:t>
      </w:r>
      <w:r w:rsidRPr="00E82706">
        <w:rPr>
          <w:rFonts w:ascii="Arial" w:eastAsia="Calibri" w:hAnsi="Arial" w:cs="Arial"/>
          <w:spacing w:val="-7"/>
          <w:w w:val="105"/>
          <w:sz w:val="24"/>
          <w:szCs w:val="24"/>
          <w:lang w:bidi="en-US"/>
        </w:rPr>
        <w:t xml:space="preserve"> </w:t>
      </w:r>
      <w:r w:rsidRPr="00E82706">
        <w:rPr>
          <w:rFonts w:ascii="Arial" w:eastAsia="Calibri" w:hAnsi="Arial" w:cs="Arial"/>
          <w:w w:val="105"/>
          <w:sz w:val="24"/>
          <w:szCs w:val="24"/>
          <w:lang w:bidi="en-US"/>
        </w:rPr>
        <w:t>violations</w:t>
      </w:r>
      <w:r w:rsidRPr="00E82706">
        <w:rPr>
          <w:rFonts w:ascii="Arial" w:eastAsia="Calibri" w:hAnsi="Arial" w:cs="Arial"/>
          <w:spacing w:val="-7"/>
          <w:w w:val="105"/>
          <w:sz w:val="24"/>
          <w:szCs w:val="24"/>
          <w:lang w:bidi="en-US"/>
        </w:rPr>
        <w:t xml:space="preserve"> </w:t>
      </w:r>
      <w:r w:rsidRPr="00E82706">
        <w:rPr>
          <w:rFonts w:ascii="Arial" w:eastAsia="Calibri" w:hAnsi="Arial" w:cs="Arial"/>
          <w:w w:val="105"/>
          <w:sz w:val="24"/>
          <w:szCs w:val="24"/>
          <w:lang w:bidi="en-US"/>
        </w:rPr>
        <w:t>in</w:t>
      </w:r>
      <w:r w:rsidRPr="00E82706">
        <w:rPr>
          <w:rFonts w:ascii="Arial" w:eastAsia="Calibri" w:hAnsi="Arial" w:cs="Arial"/>
          <w:spacing w:val="-7"/>
          <w:w w:val="105"/>
          <w:sz w:val="24"/>
          <w:szCs w:val="24"/>
          <w:lang w:bidi="en-US"/>
        </w:rPr>
        <w:t xml:space="preserve"> the country. </w:t>
      </w:r>
      <w:r w:rsidRPr="00E82706">
        <w:rPr>
          <w:rFonts w:ascii="Arial" w:eastAsia="Calibri" w:hAnsi="Arial" w:cs="Arial"/>
          <w:bCs/>
          <w:sz w:val="24"/>
          <w:szCs w:val="24"/>
          <w:lang w:val="en-GB"/>
        </w:rPr>
        <w:t>According to the Botswana National Relationship Study, the following Gender Based Violence (GBV) related statistics were recorded in 2017:</w:t>
      </w:r>
    </w:p>
    <w:p w:rsidR="00E82706" w:rsidRPr="00E82706" w:rsidRDefault="00E82706" w:rsidP="00E82706">
      <w:pPr>
        <w:numPr>
          <w:ilvl w:val="0"/>
          <w:numId w:val="7"/>
        </w:numPr>
        <w:spacing w:after="0" w:line="360" w:lineRule="auto"/>
        <w:contextualSpacing/>
        <w:jc w:val="both"/>
        <w:rPr>
          <w:rFonts w:ascii="Arial" w:eastAsia="Calibri" w:hAnsi="Arial" w:cs="Arial"/>
          <w:bCs/>
          <w:sz w:val="24"/>
          <w:szCs w:val="24"/>
          <w:lang w:val="en-GB"/>
        </w:rPr>
      </w:pPr>
      <w:r w:rsidRPr="00E82706">
        <w:rPr>
          <w:rFonts w:ascii="Arial" w:eastAsia="Calibri" w:hAnsi="Arial" w:cs="Arial"/>
          <w:bCs/>
          <w:sz w:val="24"/>
          <w:szCs w:val="24"/>
          <w:lang w:val="en-GB"/>
        </w:rPr>
        <w:t>37% of women and 21% of men reported experiencing some form of GBV in their lifetime</w:t>
      </w:r>
    </w:p>
    <w:p w:rsidR="00E82706" w:rsidRPr="00E82706" w:rsidRDefault="00E82706" w:rsidP="00E82706">
      <w:pPr>
        <w:numPr>
          <w:ilvl w:val="0"/>
          <w:numId w:val="7"/>
        </w:numPr>
        <w:spacing w:after="0" w:line="360" w:lineRule="auto"/>
        <w:contextualSpacing/>
        <w:jc w:val="both"/>
        <w:rPr>
          <w:rFonts w:ascii="Arial" w:eastAsia="Calibri" w:hAnsi="Arial" w:cs="Arial"/>
          <w:bCs/>
          <w:sz w:val="24"/>
          <w:szCs w:val="24"/>
          <w:lang w:val="en-GB"/>
        </w:rPr>
      </w:pPr>
      <w:r w:rsidRPr="00E82706">
        <w:rPr>
          <w:rFonts w:ascii="Arial" w:eastAsia="Calibri" w:hAnsi="Arial" w:cs="Arial"/>
          <w:bCs/>
          <w:sz w:val="24"/>
          <w:szCs w:val="24"/>
          <w:lang w:val="en-GB"/>
        </w:rPr>
        <w:t>30% of all men and 12% of women said they perpetrated some form of violence</w:t>
      </w:r>
    </w:p>
    <w:p w:rsidR="00E82706" w:rsidRPr="00E82706" w:rsidRDefault="00E82706" w:rsidP="00E82706">
      <w:pPr>
        <w:numPr>
          <w:ilvl w:val="0"/>
          <w:numId w:val="7"/>
        </w:numPr>
        <w:spacing w:after="0" w:line="360" w:lineRule="auto"/>
        <w:contextualSpacing/>
        <w:jc w:val="both"/>
        <w:rPr>
          <w:rFonts w:ascii="Arial" w:eastAsia="Calibri" w:hAnsi="Arial" w:cs="Arial"/>
          <w:bCs/>
          <w:sz w:val="24"/>
          <w:szCs w:val="24"/>
          <w:lang w:val="en-GB"/>
        </w:rPr>
      </w:pPr>
      <w:r w:rsidRPr="00E82706">
        <w:rPr>
          <w:rFonts w:ascii="Arial" w:eastAsia="Calibri" w:hAnsi="Arial" w:cs="Arial"/>
          <w:bCs/>
          <w:sz w:val="24"/>
          <w:szCs w:val="24"/>
          <w:lang w:val="en-GB"/>
        </w:rPr>
        <w:t>Most common form of GBV experienced is Intimate Partner Violence (IPV) with 37% women and 18% of men reporting lifetime experience</w:t>
      </w:r>
    </w:p>
    <w:p w:rsidR="00E82706" w:rsidRPr="00E82706" w:rsidRDefault="00E82706" w:rsidP="00E82706">
      <w:pPr>
        <w:numPr>
          <w:ilvl w:val="0"/>
          <w:numId w:val="7"/>
        </w:numPr>
        <w:spacing w:after="0" w:line="360" w:lineRule="auto"/>
        <w:contextualSpacing/>
        <w:jc w:val="both"/>
        <w:rPr>
          <w:rFonts w:ascii="Arial" w:eastAsia="Calibri" w:hAnsi="Arial" w:cs="Arial"/>
          <w:bCs/>
          <w:sz w:val="24"/>
          <w:szCs w:val="24"/>
          <w:lang w:val="en-GB"/>
        </w:rPr>
      </w:pPr>
      <w:r w:rsidRPr="00E82706">
        <w:rPr>
          <w:rFonts w:ascii="Arial" w:eastAsia="Calibri" w:hAnsi="Arial" w:cs="Arial"/>
          <w:bCs/>
          <w:sz w:val="24"/>
          <w:szCs w:val="24"/>
          <w:lang w:val="en-GB"/>
        </w:rPr>
        <w:t>27% of men and 18% women reported perpetrating IPV respectively</w:t>
      </w:r>
    </w:p>
    <w:p w:rsidR="00E82706" w:rsidRPr="00E82706" w:rsidRDefault="00E82706" w:rsidP="00E82706">
      <w:pPr>
        <w:numPr>
          <w:ilvl w:val="0"/>
          <w:numId w:val="7"/>
        </w:numPr>
        <w:spacing w:after="0" w:line="360" w:lineRule="auto"/>
        <w:contextualSpacing/>
        <w:jc w:val="both"/>
        <w:rPr>
          <w:rFonts w:ascii="Arial" w:eastAsia="Calibri" w:hAnsi="Arial" w:cs="Arial"/>
          <w:bCs/>
          <w:sz w:val="24"/>
          <w:szCs w:val="24"/>
          <w:lang w:val="en-GB"/>
        </w:rPr>
      </w:pPr>
      <w:r w:rsidRPr="00E82706">
        <w:rPr>
          <w:rFonts w:ascii="Arial" w:eastAsia="Calibri" w:hAnsi="Arial" w:cs="Arial"/>
          <w:bCs/>
          <w:sz w:val="24"/>
          <w:szCs w:val="24"/>
          <w:lang w:val="en-GB"/>
        </w:rPr>
        <w:t>Most common form of IPV is emotional followed by physical, economic, and sexual intimate partner violence</w:t>
      </w:r>
    </w:p>
    <w:p w:rsidR="00E82706" w:rsidRPr="00E82706" w:rsidRDefault="00E82706" w:rsidP="00E82706">
      <w:pPr>
        <w:numPr>
          <w:ilvl w:val="0"/>
          <w:numId w:val="7"/>
        </w:numPr>
        <w:spacing w:after="0" w:line="360" w:lineRule="auto"/>
        <w:contextualSpacing/>
        <w:jc w:val="both"/>
        <w:rPr>
          <w:rFonts w:ascii="Arial" w:eastAsia="Calibri" w:hAnsi="Arial" w:cs="Arial"/>
          <w:bCs/>
          <w:sz w:val="24"/>
          <w:szCs w:val="24"/>
          <w:lang w:val="en-GB"/>
        </w:rPr>
      </w:pPr>
      <w:r w:rsidRPr="00E82706">
        <w:rPr>
          <w:rFonts w:ascii="Arial" w:eastAsia="Calibri" w:hAnsi="Arial" w:cs="Arial"/>
          <w:bCs/>
          <w:sz w:val="24"/>
          <w:szCs w:val="24"/>
          <w:lang w:val="en-GB"/>
        </w:rPr>
        <w:t xml:space="preserve">5% reported experiencing attempted rape while almost 8% of the men disclosed attempted rape of a non-partner. </w:t>
      </w:r>
    </w:p>
    <w:p w:rsidR="00E82706" w:rsidRPr="00E82706" w:rsidRDefault="00E82706" w:rsidP="00E82706">
      <w:pPr>
        <w:numPr>
          <w:ilvl w:val="0"/>
          <w:numId w:val="7"/>
        </w:numPr>
        <w:spacing w:after="0" w:line="360" w:lineRule="auto"/>
        <w:contextualSpacing/>
        <w:jc w:val="both"/>
        <w:rPr>
          <w:rFonts w:ascii="Arial" w:eastAsia="Calibri" w:hAnsi="Arial" w:cs="Arial"/>
          <w:bCs/>
          <w:sz w:val="24"/>
          <w:szCs w:val="24"/>
          <w:lang w:val="en-GB"/>
        </w:rPr>
      </w:pPr>
      <w:r w:rsidRPr="00E82706">
        <w:rPr>
          <w:rFonts w:ascii="Arial" w:eastAsia="Calibri" w:hAnsi="Arial" w:cs="Arial"/>
          <w:bCs/>
          <w:sz w:val="24"/>
          <w:szCs w:val="24"/>
          <w:lang w:val="en-GB"/>
        </w:rPr>
        <w:t xml:space="preserve">1% of men reported experiencing forced sex by their non-partners </w:t>
      </w:r>
      <w:proofErr w:type="gramStart"/>
      <w:r w:rsidRPr="00E82706">
        <w:rPr>
          <w:rFonts w:ascii="Arial" w:eastAsia="Calibri" w:hAnsi="Arial" w:cs="Arial"/>
          <w:bCs/>
          <w:sz w:val="24"/>
          <w:szCs w:val="24"/>
          <w:lang w:val="en-GB"/>
        </w:rPr>
        <w:t>and also</w:t>
      </w:r>
      <w:proofErr w:type="gramEnd"/>
      <w:r w:rsidRPr="00E82706">
        <w:rPr>
          <w:rFonts w:ascii="Arial" w:eastAsia="Calibri" w:hAnsi="Arial" w:cs="Arial"/>
          <w:bCs/>
          <w:sz w:val="24"/>
          <w:szCs w:val="24"/>
          <w:lang w:val="en-GB"/>
        </w:rPr>
        <w:t xml:space="preserve"> 1% of</w:t>
      </w:r>
      <w:r w:rsidRPr="00E82706">
        <w:rPr>
          <w:rFonts w:ascii="Arial" w:eastAsia="Calibri" w:hAnsi="Arial" w:cs="Arial"/>
          <w:sz w:val="24"/>
          <w:szCs w:val="24"/>
        </w:rPr>
        <w:t xml:space="preserve"> </w:t>
      </w:r>
      <w:r w:rsidRPr="00E82706">
        <w:rPr>
          <w:rFonts w:ascii="Arial" w:eastAsia="Calibri" w:hAnsi="Arial" w:cs="Arial"/>
          <w:bCs/>
          <w:sz w:val="24"/>
          <w:szCs w:val="24"/>
          <w:lang w:val="en-GB"/>
        </w:rPr>
        <w:t>women disclosed ever forcing to have sex with a non-partner.</w:t>
      </w:r>
    </w:p>
    <w:p w:rsidR="00E82706" w:rsidRPr="00E82706" w:rsidRDefault="00E82706" w:rsidP="00E82706">
      <w:pPr>
        <w:numPr>
          <w:ilvl w:val="0"/>
          <w:numId w:val="7"/>
        </w:numPr>
        <w:spacing w:after="0" w:line="360" w:lineRule="auto"/>
        <w:contextualSpacing/>
        <w:jc w:val="both"/>
        <w:rPr>
          <w:rFonts w:ascii="Arial" w:eastAsia="Calibri" w:hAnsi="Arial" w:cs="Arial"/>
          <w:bCs/>
          <w:sz w:val="24"/>
          <w:szCs w:val="24"/>
          <w:lang w:val="en-GB"/>
        </w:rPr>
      </w:pPr>
      <w:r w:rsidRPr="00E82706">
        <w:rPr>
          <w:rFonts w:ascii="Arial" w:eastAsia="Calibri" w:hAnsi="Arial" w:cs="Arial"/>
          <w:bCs/>
          <w:sz w:val="24"/>
          <w:szCs w:val="24"/>
          <w:lang w:val="en-GB"/>
        </w:rPr>
        <w:t>15% of women who were ever pregnant reported experiencing abuse at some point during their pregnancy.</w:t>
      </w:r>
    </w:p>
    <w:p w:rsidR="00E82706" w:rsidRPr="00E82706" w:rsidRDefault="00E82706" w:rsidP="00E82706">
      <w:pPr>
        <w:numPr>
          <w:ilvl w:val="0"/>
          <w:numId w:val="7"/>
        </w:numPr>
        <w:spacing w:after="0" w:line="360" w:lineRule="auto"/>
        <w:contextualSpacing/>
        <w:jc w:val="both"/>
        <w:rPr>
          <w:rFonts w:ascii="Arial" w:eastAsia="Calibri" w:hAnsi="Arial" w:cs="Arial"/>
          <w:bCs/>
          <w:sz w:val="24"/>
          <w:szCs w:val="24"/>
          <w:lang w:val="en-GB"/>
        </w:rPr>
      </w:pPr>
      <w:r w:rsidRPr="00E82706">
        <w:rPr>
          <w:rFonts w:ascii="Arial" w:eastAsia="Calibri" w:hAnsi="Arial" w:cs="Arial"/>
          <w:bCs/>
          <w:sz w:val="24"/>
          <w:szCs w:val="24"/>
          <w:lang w:val="en-GB"/>
        </w:rPr>
        <w:t>5% of all the women reported experiencing sexual harassment at school</w:t>
      </w:r>
    </w:p>
    <w:p w:rsidR="00E82706" w:rsidRDefault="00E82706" w:rsidP="00E82706">
      <w:pPr>
        <w:numPr>
          <w:ilvl w:val="0"/>
          <w:numId w:val="7"/>
        </w:numPr>
        <w:spacing w:after="0" w:line="360" w:lineRule="auto"/>
        <w:contextualSpacing/>
        <w:jc w:val="both"/>
        <w:rPr>
          <w:rFonts w:ascii="Arial" w:eastAsia="Calibri" w:hAnsi="Arial" w:cs="Arial"/>
          <w:bCs/>
          <w:sz w:val="24"/>
          <w:szCs w:val="24"/>
          <w:lang w:val="en-GB"/>
        </w:rPr>
      </w:pPr>
      <w:r w:rsidRPr="00E82706">
        <w:rPr>
          <w:rFonts w:ascii="Arial" w:eastAsia="Calibri" w:hAnsi="Arial" w:cs="Arial"/>
          <w:bCs/>
          <w:sz w:val="24"/>
          <w:szCs w:val="24"/>
          <w:lang w:val="en-GB"/>
        </w:rPr>
        <w:t>6% reported sexual harassment at work.</w:t>
      </w:r>
    </w:p>
    <w:p w:rsidR="00C009F3" w:rsidRPr="00E82706" w:rsidRDefault="00C009F3" w:rsidP="0000033D">
      <w:pPr>
        <w:spacing w:after="0" w:line="360" w:lineRule="auto"/>
        <w:ind w:left="720"/>
        <w:contextualSpacing/>
        <w:jc w:val="both"/>
        <w:rPr>
          <w:rFonts w:ascii="Arial" w:eastAsia="Calibri" w:hAnsi="Arial" w:cs="Arial"/>
          <w:bCs/>
          <w:sz w:val="24"/>
          <w:szCs w:val="24"/>
          <w:lang w:val="en-GB"/>
        </w:rPr>
      </w:pPr>
    </w:p>
    <w:p w:rsidR="00C009F3" w:rsidRPr="0000033D" w:rsidRDefault="0000033D" w:rsidP="0000033D">
      <w:pPr>
        <w:pStyle w:val="Heading3"/>
        <w:rPr>
          <w:rFonts w:ascii="Arial" w:hAnsi="Arial" w:cs="Arial"/>
          <w:b/>
          <w:color w:val="auto"/>
        </w:rPr>
      </w:pPr>
      <w:r w:rsidRPr="0000033D">
        <w:rPr>
          <w:rFonts w:ascii="Arial" w:hAnsi="Arial" w:cs="Arial"/>
          <w:b/>
          <w:color w:val="auto"/>
        </w:rPr>
        <w:t xml:space="preserve">3.5.2 </w:t>
      </w:r>
      <w:r w:rsidR="00C009F3" w:rsidRPr="0000033D">
        <w:rPr>
          <w:rFonts w:ascii="Arial" w:hAnsi="Arial" w:cs="Arial"/>
          <w:b/>
          <w:color w:val="auto"/>
        </w:rPr>
        <w:t xml:space="preserve">Government </w:t>
      </w:r>
      <w:proofErr w:type="spellStart"/>
      <w:r w:rsidR="00C009F3" w:rsidRPr="0000033D">
        <w:rPr>
          <w:rFonts w:ascii="Arial" w:hAnsi="Arial" w:cs="Arial"/>
          <w:b/>
          <w:color w:val="auto"/>
        </w:rPr>
        <w:t>Programmes</w:t>
      </w:r>
      <w:proofErr w:type="spellEnd"/>
      <w:r w:rsidR="00C009F3" w:rsidRPr="0000033D">
        <w:rPr>
          <w:rFonts w:ascii="Arial" w:hAnsi="Arial" w:cs="Arial"/>
          <w:b/>
          <w:color w:val="auto"/>
        </w:rPr>
        <w:t xml:space="preserve">/Initiatives </w:t>
      </w:r>
    </w:p>
    <w:p w:rsidR="00C009F3" w:rsidRPr="00C009F3" w:rsidRDefault="00C009F3" w:rsidP="00C009F3">
      <w:pPr>
        <w:spacing w:line="360" w:lineRule="auto"/>
        <w:jc w:val="both"/>
        <w:rPr>
          <w:rFonts w:ascii="Arial" w:hAnsi="Arial" w:cs="Arial"/>
        </w:rPr>
      </w:pPr>
      <w:r w:rsidRPr="00C009F3">
        <w:rPr>
          <w:rFonts w:ascii="Arial" w:hAnsi="Arial" w:cs="Arial"/>
        </w:rPr>
        <w:t>The</w:t>
      </w:r>
      <w:r w:rsidR="0000033D">
        <w:rPr>
          <w:rFonts w:ascii="Arial" w:hAnsi="Arial" w:cs="Arial"/>
        </w:rPr>
        <w:t xml:space="preserve"> Government of Botswana</w:t>
      </w:r>
      <w:r w:rsidRPr="00C009F3">
        <w:rPr>
          <w:rFonts w:ascii="Arial" w:hAnsi="Arial" w:cs="Arial"/>
        </w:rPr>
        <w:t xml:space="preserve"> adopted a National Policy on Gender and Development (NPGAD) which </w:t>
      </w:r>
      <w:proofErr w:type="spellStart"/>
      <w:r w:rsidRPr="00C009F3">
        <w:rPr>
          <w:rFonts w:ascii="Arial" w:hAnsi="Arial" w:cs="Arial"/>
        </w:rPr>
        <w:t>prioritises</w:t>
      </w:r>
      <w:proofErr w:type="spellEnd"/>
      <w:r w:rsidRPr="00C009F3">
        <w:rPr>
          <w:rFonts w:ascii="Arial" w:hAnsi="Arial" w:cs="Arial"/>
        </w:rPr>
        <w:t xml:space="preserve"> economic development, prosperity and poverty reduction, social protection and social services, political power, democratic governance and decision making, access to justice and protection of human rights and freedom from violence, and special measures targeting vulnerable groups of women, men, girls and boys. </w:t>
      </w:r>
    </w:p>
    <w:p w:rsidR="00C009F3" w:rsidRPr="00C009F3" w:rsidRDefault="00C009F3" w:rsidP="00C009F3">
      <w:pPr>
        <w:spacing w:line="360" w:lineRule="auto"/>
        <w:jc w:val="both"/>
        <w:rPr>
          <w:rFonts w:ascii="Arial" w:hAnsi="Arial" w:cs="Arial"/>
        </w:rPr>
      </w:pPr>
      <w:r w:rsidRPr="00C009F3">
        <w:rPr>
          <w:rFonts w:ascii="Arial" w:hAnsi="Arial" w:cs="Arial"/>
        </w:rPr>
        <w:lastRenderedPageBreak/>
        <w:t xml:space="preserve">Botswana signed the SADC Protocol on Gender and </w:t>
      </w:r>
      <w:r w:rsidR="0000033D" w:rsidRPr="00C009F3">
        <w:rPr>
          <w:rFonts w:ascii="Arial" w:hAnsi="Arial" w:cs="Arial"/>
        </w:rPr>
        <w:t>Development</w:t>
      </w:r>
      <w:r w:rsidRPr="00C009F3">
        <w:rPr>
          <w:rFonts w:ascii="Arial" w:hAnsi="Arial" w:cs="Arial"/>
        </w:rPr>
        <w:t xml:space="preserve"> </w:t>
      </w:r>
      <w:r w:rsidR="0000033D" w:rsidRPr="00C009F3">
        <w:rPr>
          <w:rFonts w:ascii="Arial" w:hAnsi="Arial" w:cs="Arial"/>
        </w:rPr>
        <w:t xml:space="preserve">in 2017, </w:t>
      </w:r>
      <w:r w:rsidRPr="00C009F3">
        <w:rPr>
          <w:rFonts w:ascii="Arial" w:hAnsi="Arial" w:cs="Arial"/>
        </w:rPr>
        <w:t>which aims to end GBV by 2030. Further, Botswana is the first SADC country to conduct a follow up to the initial 2012 Gender Based Violence Indicators Study, and second after Seychelles in SADC region to conduct a comprehensive GBV study now incorporating Violence against Men (VAM). This provides data on extent a</w:t>
      </w:r>
      <w:r w:rsidR="0000033D">
        <w:rPr>
          <w:rFonts w:ascii="Arial" w:hAnsi="Arial" w:cs="Arial"/>
        </w:rPr>
        <w:t>nd perpetration of GBV on</w:t>
      </w:r>
      <w:r w:rsidRPr="00C009F3">
        <w:rPr>
          <w:rFonts w:ascii="Arial" w:hAnsi="Arial" w:cs="Arial"/>
        </w:rPr>
        <w:t xml:space="preserve"> men for </w:t>
      </w:r>
      <w:proofErr w:type="gramStart"/>
      <w:r w:rsidRPr="00C009F3">
        <w:rPr>
          <w:rFonts w:ascii="Arial" w:hAnsi="Arial" w:cs="Arial"/>
        </w:rPr>
        <w:t>evidence based</w:t>
      </w:r>
      <w:proofErr w:type="gramEnd"/>
      <w:r w:rsidRPr="00C009F3">
        <w:rPr>
          <w:rFonts w:ascii="Arial" w:hAnsi="Arial" w:cs="Arial"/>
        </w:rPr>
        <w:t xml:space="preserve"> planning. </w:t>
      </w:r>
    </w:p>
    <w:p w:rsidR="00E82706" w:rsidRDefault="00C009F3" w:rsidP="00C009F3">
      <w:pPr>
        <w:spacing w:line="360" w:lineRule="auto"/>
        <w:jc w:val="both"/>
        <w:rPr>
          <w:rFonts w:ascii="Arial" w:hAnsi="Arial" w:cs="Arial"/>
        </w:rPr>
      </w:pPr>
      <w:r w:rsidRPr="00C009F3">
        <w:rPr>
          <w:rFonts w:ascii="Arial" w:hAnsi="Arial" w:cs="Arial"/>
        </w:rPr>
        <w:t>The country has also developed a gender research agenda and a comprehensive monitoring and evaluation framework for the Policy on Gender and Development as part of strengthening the strategic information and knowledge management system of the country’s gender machinery. The Ministry of Nationality, Immigration and Gender Affairs has piloted a Gender Based Violence Referral System</w:t>
      </w:r>
      <w:r w:rsidR="00097523" w:rsidRPr="00097523">
        <w:rPr>
          <w:rFonts w:ascii="Arial" w:hAnsi="Arial" w:cs="Arial"/>
        </w:rPr>
        <w:t xml:space="preserve"> </w:t>
      </w:r>
      <w:r w:rsidR="00097523" w:rsidRPr="00C009F3">
        <w:rPr>
          <w:rFonts w:ascii="Arial" w:hAnsi="Arial" w:cs="Arial"/>
        </w:rPr>
        <w:t>for GBV survivors</w:t>
      </w:r>
      <w:r w:rsidR="00097523">
        <w:rPr>
          <w:rFonts w:ascii="Arial" w:hAnsi="Arial" w:cs="Arial"/>
        </w:rPr>
        <w:t>,</w:t>
      </w:r>
      <w:r w:rsidRPr="00C009F3">
        <w:rPr>
          <w:rFonts w:ascii="Arial" w:hAnsi="Arial" w:cs="Arial"/>
        </w:rPr>
        <w:t xml:space="preserve"> in four districts</w:t>
      </w:r>
      <w:r w:rsidR="00097523">
        <w:rPr>
          <w:rFonts w:ascii="Arial" w:hAnsi="Arial" w:cs="Arial"/>
        </w:rPr>
        <w:t>,</w:t>
      </w:r>
      <w:r w:rsidRPr="00C009F3">
        <w:rPr>
          <w:rFonts w:ascii="Arial" w:hAnsi="Arial" w:cs="Arial"/>
        </w:rPr>
        <w:t xml:space="preserve"> among key service providers.</w:t>
      </w:r>
    </w:p>
    <w:p w:rsidR="00C65719" w:rsidRPr="00E82706" w:rsidRDefault="00C65719" w:rsidP="00C009F3">
      <w:pPr>
        <w:spacing w:line="360" w:lineRule="auto"/>
        <w:jc w:val="both"/>
        <w:rPr>
          <w:rFonts w:ascii="Arial" w:hAnsi="Arial" w:cs="Arial"/>
        </w:rPr>
      </w:pPr>
    </w:p>
    <w:p w:rsidR="00095A8F" w:rsidRPr="007A199D" w:rsidRDefault="0060407A" w:rsidP="0060407A">
      <w:pPr>
        <w:pStyle w:val="Heading2"/>
        <w:rPr>
          <w:rFonts w:ascii="Arial" w:hAnsi="Arial" w:cs="Arial"/>
          <w:b/>
          <w:color w:val="0D0D0D" w:themeColor="text1" w:themeTint="F2"/>
          <w:sz w:val="28"/>
          <w:szCs w:val="28"/>
        </w:rPr>
      </w:pPr>
      <w:r w:rsidRPr="007A199D">
        <w:rPr>
          <w:rFonts w:ascii="Arial" w:hAnsi="Arial" w:cs="Arial"/>
          <w:b/>
          <w:color w:val="0D0D0D" w:themeColor="text1" w:themeTint="F2"/>
          <w:sz w:val="28"/>
          <w:szCs w:val="28"/>
        </w:rPr>
        <w:t xml:space="preserve">3.6 </w:t>
      </w:r>
      <w:r w:rsidR="00095A8F" w:rsidRPr="007A199D">
        <w:rPr>
          <w:rFonts w:ascii="Arial" w:hAnsi="Arial" w:cs="Arial"/>
          <w:b/>
          <w:color w:val="0D0D0D" w:themeColor="text1" w:themeTint="F2"/>
          <w:sz w:val="28"/>
          <w:szCs w:val="28"/>
        </w:rPr>
        <w:t>Goal 18 Engaged and Empowered Youth and Children</w:t>
      </w:r>
    </w:p>
    <w:p w:rsidR="00C65719" w:rsidRDefault="00C65719" w:rsidP="0052067B">
      <w:pPr>
        <w:autoSpaceDE w:val="0"/>
        <w:autoSpaceDN w:val="0"/>
        <w:adjustRightInd w:val="0"/>
        <w:spacing w:after="0" w:line="360" w:lineRule="auto"/>
        <w:jc w:val="both"/>
        <w:rPr>
          <w:rFonts w:ascii="Arial" w:eastAsia="Times New Roman" w:hAnsi="Arial" w:cs="Arial"/>
          <w:bCs/>
          <w:sz w:val="24"/>
          <w:szCs w:val="24"/>
        </w:rPr>
      </w:pPr>
    </w:p>
    <w:p w:rsidR="00095A8F" w:rsidRPr="00095A8F" w:rsidRDefault="00095A8F" w:rsidP="0052067B">
      <w:pPr>
        <w:autoSpaceDE w:val="0"/>
        <w:autoSpaceDN w:val="0"/>
        <w:adjustRightInd w:val="0"/>
        <w:spacing w:after="0" w:line="360" w:lineRule="auto"/>
        <w:jc w:val="both"/>
        <w:rPr>
          <w:rFonts w:ascii="Arial" w:eastAsia="Calibri" w:hAnsi="Arial" w:cs="Arial"/>
          <w:sz w:val="24"/>
          <w:szCs w:val="24"/>
          <w:lang w:val="en-ZA"/>
        </w:rPr>
      </w:pPr>
      <w:r w:rsidRPr="00095A8F">
        <w:rPr>
          <w:rFonts w:ascii="Arial" w:eastAsia="Times New Roman" w:hAnsi="Arial" w:cs="Arial"/>
          <w:bCs/>
          <w:sz w:val="24"/>
          <w:szCs w:val="24"/>
        </w:rPr>
        <w:t xml:space="preserve">The Government of Botswana is keen on substantially reducing the proportion of youth not in employment, education or </w:t>
      </w:r>
      <w:r w:rsidR="0052067B">
        <w:rPr>
          <w:rFonts w:ascii="Arial" w:eastAsia="Times New Roman" w:hAnsi="Arial" w:cs="Arial"/>
          <w:bCs/>
          <w:sz w:val="24"/>
          <w:szCs w:val="24"/>
        </w:rPr>
        <w:t xml:space="preserve">training. </w:t>
      </w:r>
      <w:proofErr w:type="gramStart"/>
      <w:r w:rsidR="0052067B">
        <w:rPr>
          <w:rFonts w:ascii="Arial" w:eastAsia="Times New Roman" w:hAnsi="Arial" w:cs="Arial"/>
          <w:bCs/>
          <w:sz w:val="24"/>
          <w:szCs w:val="24"/>
        </w:rPr>
        <w:t>In light of</w:t>
      </w:r>
      <w:proofErr w:type="gramEnd"/>
      <w:r w:rsidR="0052067B">
        <w:rPr>
          <w:rFonts w:ascii="Arial" w:eastAsia="Times New Roman" w:hAnsi="Arial" w:cs="Arial"/>
          <w:bCs/>
          <w:sz w:val="24"/>
          <w:szCs w:val="24"/>
        </w:rPr>
        <w:t xml:space="preserve"> this</w:t>
      </w:r>
      <w:r w:rsidRPr="00095A8F">
        <w:rPr>
          <w:rFonts w:ascii="Arial" w:eastAsia="Times New Roman" w:hAnsi="Arial" w:cs="Arial"/>
          <w:bCs/>
          <w:sz w:val="24"/>
          <w:szCs w:val="24"/>
        </w:rPr>
        <w:t>, young people are encouraged to participate in youth exchange platform</w:t>
      </w:r>
      <w:r w:rsidR="00C65719">
        <w:rPr>
          <w:rFonts w:ascii="Arial" w:eastAsia="Times New Roman" w:hAnsi="Arial" w:cs="Arial"/>
          <w:bCs/>
          <w:sz w:val="24"/>
          <w:szCs w:val="24"/>
        </w:rPr>
        <w:t>s</w:t>
      </w:r>
      <w:r w:rsidRPr="00095A8F">
        <w:rPr>
          <w:rFonts w:ascii="Arial" w:eastAsia="Times New Roman" w:hAnsi="Arial" w:cs="Arial"/>
          <w:bCs/>
          <w:sz w:val="24"/>
          <w:szCs w:val="24"/>
        </w:rPr>
        <w:t xml:space="preserve"> which </w:t>
      </w:r>
      <w:r w:rsidR="0052067B">
        <w:rPr>
          <w:rFonts w:ascii="Arial" w:eastAsia="Times New Roman" w:hAnsi="Arial" w:cs="Arial"/>
          <w:bCs/>
          <w:sz w:val="24"/>
          <w:szCs w:val="24"/>
        </w:rPr>
        <w:t>offer them an</w:t>
      </w:r>
      <w:r w:rsidRPr="00095A8F">
        <w:rPr>
          <w:rFonts w:ascii="Arial" w:eastAsia="Times New Roman" w:hAnsi="Arial" w:cs="Arial"/>
          <w:bCs/>
          <w:sz w:val="24"/>
          <w:szCs w:val="24"/>
        </w:rPr>
        <w:t xml:space="preserve"> opportunity </w:t>
      </w:r>
      <w:r w:rsidR="0052067B">
        <w:rPr>
          <w:rFonts w:ascii="Arial" w:eastAsia="Times New Roman" w:hAnsi="Arial" w:cs="Arial"/>
          <w:bCs/>
          <w:sz w:val="24"/>
          <w:szCs w:val="24"/>
        </w:rPr>
        <w:t>to benchmark best practices</w:t>
      </w:r>
      <w:r w:rsidRPr="00095A8F">
        <w:rPr>
          <w:rFonts w:ascii="Arial" w:eastAsia="Times New Roman" w:hAnsi="Arial" w:cs="Arial"/>
          <w:bCs/>
          <w:sz w:val="24"/>
          <w:szCs w:val="24"/>
        </w:rPr>
        <w:t xml:space="preserve"> locally and internationally. Through this initiative, participation in the Youth Business Exposition grew from 224 in 2016/17 to 602 in 2018/19, and young people were offered mentorship by stakeholders. </w:t>
      </w:r>
    </w:p>
    <w:p w:rsidR="00095A8F" w:rsidRPr="00095A8F" w:rsidRDefault="00095A8F" w:rsidP="0052067B">
      <w:pPr>
        <w:autoSpaceDE w:val="0"/>
        <w:autoSpaceDN w:val="0"/>
        <w:adjustRightInd w:val="0"/>
        <w:spacing w:after="0" w:line="360" w:lineRule="auto"/>
        <w:jc w:val="both"/>
        <w:rPr>
          <w:rFonts w:ascii="Arial" w:eastAsia="Calibri" w:hAnsi="Arial" w:cs="Arial"/>
          <w:sz w:val="24"/>
          <w:szCs w:val="24"/>
        </w:rPr>
      </w:pPr>
    </w:p>
    <w:p w:rsidR="0052067B" w:rsidRDefault="00095A8F" w:rsidP="0052067B">
      <w:pPr>
        <w:spacing w:line="360" w:lineRule="auto"/>
        <w:jc w:val="both"/>
        <w:rPr>
          <w:rFonts w:ascii="Arial" w:eastAsia="Calibri" w:hAnsi="Arial" w:cs="Arial"/>
          <w:sz w:val="24"/>
          <w:szCs w:val="24"/>
          <w:lang w:val="en-ZA"/>
        </w:rPr>
      </w:pPr>
      <w:r w:rsidRPr="0052067B">
        <w:rPr>
          <w:rFonts w:ascii="Arial" w:eastAsia="Calibri" w:hAnsi="Arial" w:cs="Arial"/>
          <w:sz w:val="24"/>
          <w:szCs w:val="24"/>
          <w:lang w:val="en-ZA"/>
        </w:rPr>
        <w:t xml:space="preserve">The country continues to advocate for the </w:t>
      </w:r>
      <w:r w:rsidRPr="0052067B">
        <w:rPr>
          <w:rFonts w:ascii="Arial" w:eastAsia="Calibri" w:hAnsi="Arial" w:cs="Arial"/>
          <w:sz w:val="24"/>
          <w:szCs w:val="24"/>
        </w:rPr>
        <w:t xml:space="preserve">protection of labor rights and promotion of safe and secure working environments for all workers, including migrant workers, </w:t>
      </w:r>
      <w:proofErr w:type="gramStart"/>
      <w:r w:rsidRPr="0052067B">
        <w:rPr>
          <w:rFonts w:ascii="Arial" w:eastAsia="Calibri" w:hAnsi="Arial" w:cs="Arial"/>
          <w:sz w:val="24"/>
          <w:szCs w:val="24"/>
        </w:rPr>
        <w:t>in particular women</w:t>
      </w:r>
      <w:proofErr w:type="gramEnd"/>
      <w:r w:rsidRPr="0052067B">
        <w:rPr>
          <w:rFonts w:ascii="Arial" w:eastAsia="Calibri" w:hAnsi="Arial" w:cs="Arial"/>
          <w:sz w:val="24"/>
          <w:szCs w:val="24"/>
        </w:rPr>
        <w:t xml:space="preserve"> migrants, and those in precarious employment. </w:t>
      </w:r>
      <w:r w:rsidR="0052067B" w:rsidRPr="0052067B">
        <w:rPr>
          <w:rFonts w:ascii="Arial" w:eastAsia="Calibri" w:hAnsi="Arial" w:cs="Arial"/>
          <w:sz w:val="24"/>
          <w:szCs w:val="24"/>
        </w:rPr>
        <w:t xml:space="preserve">As such </w:t>
      </w:r>
      <w:r w:rsidRPr="0052067B">
        <w:rPr>
          <w:rFonts w:ascii="Arial" w:eastAsia="Calibri" w:hAnsi="Arial" w:cs="Arial"/>
          <w:sz w:val="24"/>
          <w:szCs w:val="24"/>
        </w:rPr>
        <w:t xml:space="preserve">government </w:t>
      </w:r>
      <w:r w:rsidRPr="0052067B">
        <w:rPr>
          <w:rFonts w:ascii="Arial" w:eastAsia="Calibri" w:hAnsi="Arial" w:cs="Arial"/>
          <w:sz w:val="24"/>
          <w:szCs w:val="24"/>
          <w:lang w:val="en-ZA"/>
        </w:rPr>
        <w:t xml:space="preserve">is in the process of reviewing the Factories and Workers Compensation Acts to help reduce accidents and occupational diseases affecting the workforce which have a negative impact on compensation claims. A draft Occupational Health and Safety Policy has been </w:t>
      </w:r>
      <w:proofErr w:type="gramStart"/>
      <w:r w:rsidRPr="0052067B">
        <w:rPr>
          <w:rFonts w:ascii="Arial" w:eastAsia="Calibri" w:hAnsi="Arial" w:cs="Arial"/>
          <w:sz w:val="24"/>
          <w:szCs w:val="24"/>
          <w:lang w:val="en-ZA"/>
        </w:rPr>
        <w:t>developed, and</w:t>
      </w:r>
      <w:proofErr w:type="gramEnd"/>
      <w:r w:rsidRPr="0052067B">
        <w:rPr>
          <w:rFonts w:ascii="Arial" w:eastAsia="Calibri" w:hAnsi="Arial" w:cs="Arial"/>
          <w:sz w:val="24"/>
          <w:szCs w:val="24"/>
          <w:lang w:val="en-ZA"/>
        </w:rPr>
        <w:t xml:space="preserve"> is awaiting approval. </w:t>
      </w:r>
    </w:p>
    <w:p w:rsidR="00D07143" w:rsidRDefault="00D07143" w:rsidP="0052067B">
      <w:pPr>
        <w:spacing w:line="360" w:lineRule="auto"/>
        <w:jc w:val="both"/>
        <w:rPr>
          <w:rFonts w:ascii="Arial" w:eastAsia="Calibri" w:hAnsi="Arial" w:cs="Arial"/>
          <w:sz w:val="24"/>
          <w:szCs w:val="24"/>
          <w:lang w:val="en-ZA"/>
        </w:rPr>
      </w:pPr>
    </w:p>
    <w:p w:rsidR="00D07143" w:rsidRDefault="00D07143" w:rsidP="0052067B">
      <w:pPr>
        <w:spacing w:line="360" w:lineRule="auto"/>
        <w:jc w:val="both"/>
        <w:rPr>
          <w:rFonts w:ascii="Arial" w:eastAsia="Calibri" w:hAnsi="Arial" w:cs="Arial"/>
          <w:sz w:val="24"/>
          <w:szCs w:val="24"/>
          <w:lang w:val="en-ZA"/>
        </w:rPr>
      </w:pPr>
    </w:p>
    <w:p w:rsidR="0052067B" w:rsidRPr="0052067B" w:rsidRDefault="0052067B" w:rsidP="0052067B">
      <w:pPr>
        <w:pStyle w:val="Heading3"/>
        <w:rPr>
          <w:rFonts w:ascii="Arial" w:eastAsia="Calibri" w:hAnsi="Arial" w:cs="Arial"/>
          <w:b/>
          <w:color w:val="auto"/>
          <w:lang w:val="en-ZA"/>
        </w:rPr>
      </w:pPr>
      <w:r w:rsidRPr="0052067B">
        <w:rPr>
          <w:rFonts w:ascii="Arial" w:eastAsia="Calibri" w:hAnsi="Arial" w:cs="Arial"/>
          <w:b/>
          <w:color w:val="auto"/>
          <w:lang w:val="en-ZA"/>
        </w:rPr>
        <w:lastRenderedPageBreak/>
        <w:t>3.6.1 Overall Progress</w:t>
      </w:r>
    </w:p>
    <w:p w:rsidR="0052067B" w:rsidRPr="0052067B" w:rsidRDefault="0052067B" w:rsidP="0052067B">
      <w:pPr>
        <w:spacing w:line="360" w:lineRule="auto"/>
        <w:jc w:val="both"/>
        <w:rPr>
          <w:rFonts w:ascii="Arial" w:eastAsia="Calibri" w:hAnsi="Arial" w:cs="Arial"/>
          <w:sz w:val="24"/>
          <w:szCs w:val="24"/>
        </w:rPr>
      </w:pPr>
      <w:r>
        <w:rPr>
          <w:rFonts w:ascii="Arial" w:eastAsia="Calibri" w:hAnsi="Arial" w:cs="Arial"/>
          <w:sz w:val="24"/>
          <w:szCs w:val="24"/>
        </w:rPr>
        <w:t>Available data from</w:t>
      </w:r>
      <w:r w:rsidRPr="0052067B">
        <w:rPr>
          <w:rFonts w:ascii="Arial" w:eastAsia="Calibri" w:hAnsi="Arial" w:cs="Arial"/>
          <w:sz w:val="24"/>
          <w:szCs w:val="24"/>
        </w:rPr>
        <w:t xml:space="preserve"> on Drugs and Crime's International Homicide Statistics database indicates that </w:t>
      </w:r>
      <w:r w:rsidRPr="0052067B">
        <w:rPr>
          <w:rFonts w:ascii="Arial" w:eastAsia="Calibri" w:hAnsi="Arial" w:cs="Arial"/>
          <w:bCs/>
          <w:sz w:val="24"/>
          <w:szCs w:val="24"/>
        </w:rPr>
        <w:t>the value for i</w:t>
      </w:r>
      <w:r w:rsidRPr="0052067B">
        <w:rPr>
          <w:rFonts w:ascii="Arial" w:eastAsia="Calibri" w:hAnsi="Arial" w:cs="Arial"/>
          <w:sz w:val="24"/>
          <w:szCs w:val="24"/>
        </w:rPr>
        <w:t>ntentional homicides (per 100,000 peopl</w:t>
      </w:r>
      <w:r>
        <w:rPr>
          <w:rFonts w:ascii="Arial" w:eastAsia="Calibri" w:hAnsi="Arial" w:cs="Arial"/>
          <w:sz w:val="24"/>
          <w:szCs w:val="24"/>
        </w:rPr>
        <w:t xml:space="preserve">e) in Botswana </w:t>
      </w:r>
      <w:r w:rsidRPr="0052067B">
        <w:rPr>
          <w:rFonts w:ascii="Arial" w:eastAsia="Calibri" w:hAnsi="Arial" w:cs="Arial"/>
          <w:sz w:val="24"/>
          <w:szCs w:val="24"/>
          <w:lang w:val="en-GB"/>
        </w:rPr>
        <w:t xml:space="preserve">decreased from 13.9 in 2017 to 13.7 in 2018. However, it should be noted that between 2003 and 2011 the </w:t>
      </w:r>
      <w:r w:rsidRPr="0052067B">
        <w:rPr>
          <w:rFonts w:ascii="Arial" w:eastAsia="Calibri" w:hAnsi="Arial" w:cs="Arial"/>
          <w:sz w:val="24"/>
          <w:szCs w:val="24"/>
        </w:rPr>
        <w:t>indicator reached a maximum value of 17.20 in 2003 and a minimum value of 10.50 in 2011.</w:t>
      </w:r>
    </w:p>
    <w:p w:rsidR="0052067B" w:rsidRDefault="0052067B" w:rsidP="0052067B">
      <w:pPr>
        <w:spacing w:after="0" w:line="360" w:lineRule="auto"/>
        <w:jc w:val="both"/>
        <w:rPr>
          <w:rFonts w:ascii="Arial" w:eastAsia="Calibri" w:hAnsi="Arial" w:cs="Arial"/>
          <w:sz w:val="24"/>
          <w:szCs w:val="24"/>
        </w:rPr>
      </w:pPr>
      <w:r>
        <w:rPr>
          <w:rFonts w:ascii="Arial" w:eastAsia="Calibri" w:hAnsi="Arial" w:cs="Arial"/>
          <w:sz w:val="24"/>
          <w:szCs w:val="24"/>
        </w:rPr>
        <w:t xml:space="preserve">In </w:t>
      </w:r>
      <w:r w:rsidR="00DF2466">
        <w:rPr>
          <w:rFonts w:ascii="Arial" w:eastAsia="Calibri" w:hAnsi="Arial" w:cs="Arial"/>
          <w:sz w:val="24"/>
          <w:szCs w:val="24"/>
        </w:rPr>
        <w:t>t</w:t>
      </w:r>
      <w:r w:rsidRPr="0052067B">
        <w:rPr>
          <w:rFonts w:ascii="Arial" w:eastAsia="Calibri" w:hAnsi="Arial" w:cs="Arial"/>
          <w:sz w:val="24"/>
          <w:szCs w:val="24"/>
        </w:rPr>
        <w:t xml:space="preserve">he year 2018, the country reported 1.0% of victims who were subjected to physical violence, including grievous bodily harm. This represents a slight decrease from 1.1% recorded in 2017. </w:t>
      </w:r>
      <w:r w:rsidR="00DF2466">
        <w:rPr>
          <w:rFonts w:ascii="Arial" w:eastAsia="Calibri" w:hAnsi="Arial" w:cs="Arial"/>
          <w:sz w:val="24"/>
          <w:szCs w:val="24"/>
          <w:lang w:val="en-GB"/>
        </w:rPr>
        <w:t>I</w:t>
      </w:r>
      <w:r w:rsidRPr="0052067B">
        <w:rPr>
          <w:rFonts w:ascii="Arial" w:eastAsia="Calibri" w:hAnsi="Arial" w:cs="Arial"/>
          <w:sz w:val="24"/>
          <w:szCs w:val="24"/>
          <w:lang w:val="en-GB"/>
        </w:rPr>
        <w:t>t was also reported</w:t>
      </w:r>
      <w:r w:rsidR="00DF2466">
        <w:rPr>
          <w:rFonts w:ascii="Arial" w:eastAsia="Calibri" w:hAnsi="Arial" w:cs="Arial"/>
          <w:sz w:val="24"/>
          <w:szCs w:val="24"/>
          <w:lang w:val="en-GB"/>
        </w:rPr>
        <w:t xml:space="preserve"> in 2018</w:t>
      </w:r>
      <w:r w:rsidRPr="0052067B">
        <w:rPr>
          <w:rFonts w:ascii="Arial" w:eastAsia="Calibri" w:hAnsi="Arial" w:cs="Arial"/>
          <w:sz w:val="24"/>
          <w:szCs w:val="24"/>
          <w:lang w:val="en-GB"/>
        </w:rPr>
        <w:t xml:space="preserve"> that 0.03% of Botswana population was subjected to sexual violence (rape). </w:t>
      </w:r>
      <w:r w:rsidRPr="0052067B">
        <w:rPr>
          <w:rFonts w:ascii="Arial" w:eastAsia="Calibri" w:hAnsi="Arial" w:cs="Arial"/>
          <w:sz w:val="24"/>
          <w:szCs w:val="24"/>
        </w:rPr>
        <w:t>According to Gallup’s Law and Order Index, the percentage of residents in Botswana who are least likely to say they feel safe walking alone at night has declined from 38% in 2017 to 34% in 2018. There were 0.3 victims of human trafficking per 100,000 population in 2018, mainly involved in forced labor.</w:t>
      </w:r>
    </w:p>
    <w:p w:rsidR="0052067B" w:rsidRDefault="0052067B" w:rsidP="0052067B">
      <w:pPr>
        <w:spacing w:after="0" w:line="360" w:lineRule="auto"/>
        <w:jc w:val="both"/>
        <w:rPr>
          <w:rFonts w:ascii="Arial" w:eastAsia="Calibri" w:hAnsi="Arial" w:cs="Arial"/>
          <w:sz w:val="24"/>
          <w:szCs w:val="24"/>
        </w:rPr>
      </w:pPr>
    </w:p>
    <w:p w:rsidR="00DF2466" w:rsidRPr="00DF2466" w:rsidRDefault="00DF2466" w:rsidP="00DF2466">
      <w:pPr>
        <w:pStyle w:val="Heading3"/>
        <w:rPr>
          <w:rFonts w:ascii="Arial" w:eastAsia="Calibri" w:hAnsi="Arial" w:cs="Arial"/>
          <w:b/>
          <w:color w:val="auto"/>
        </w:rPr>
      </w:pPr>
      <w:r w:rsidRPr="00DF2466">
        <w:rPr>
          <w:rFonts w:ascii="Arial" w:eastAsia="Calibri" w:hAnsi="Arial" w:cs="Arial"/>
          <w:b/>
          <w:color w:val="auto"/>
        </w:rPr>
        <w:t xml:space="preserve">3.6.2 Government </w:t>
      </w:r>
      <w:proofErr w:type="spellStart"/>
      <w:r w:rsidRPr="00DF2466">
        <w:rPr>
          <w:rFonts w:ascii="Arial" w:eastAsia="Calibri" w:hAnsi="Arial" w:cs="Arial"/>
          <w:b/>
          <w:color w:val="auto"/>
        </w:rPr>
        <w:t>Programmes</w:t>
      </w:r>
      <w:proofErr w:type="spellEnd"/>
      <w:r w:rsidRPr="00DF2466">
        <w:rPr>
          <w:rFonts w:ascii="Arial" w:eastAsia="Calibri" w:hAnsi="Arial" w:cs="Arial"/>
          <w:b/>
          <w:color w:val="auto"/>
        </w:rPr>
        <w:t>/Initiatives</w:t>
      </w:r>
    </w:p>
    <w:p w:rsidR="0052067B" w:rsidRDefault="0052067B" w:rsidP="0052067B">
      <w:pPr>
        <w:spacing w:after="0" w:line="360" w:lineRule="auto"/>
        <w:jc w:val="both"/>
        <w:rPr>
          <w:rFonts w:ascii="Arial" w:eastAsia="Calibri" w:hAnsi="Arial" w:cs="Arial"/>
          <w:sz w:val="24"/>
          <w:szCs w:val="24"/>
        </w:rPr>
      </w:pPr>
      <w:r w:rsidRPr="0052067B">
        <w:rPr>
          <w:rFonts w:ascii="Arial" w:eastAsia="Calibri" w:hAnsi="Arial" w:cs="Arial"/>
          <w:sz w:val="24"/>
          <w:szCs w:val="24"/>
        </w:rPr>
        <w:t xml:space="preserve"> Botswana has adopted a broad and holistic approach to amend all relevant legislation such as Counter-Terrorism Act, Financial Intelligence Act and Arms and Communications Act with a view to strengthening measures aimed at countering and combating international terrorism, as well as combating money laundering. </w:t>
      </w:r>
    </w:p>
    <w:p w:rsidR="00DF2466" w:rsidRPr="0052067B" w:rsidRDefault="00DF2466" w:rsidP="0052067B">
      <w:pPr>
        <w:spacing w:after="0" w:line="360" w:lineRule="auto"/>
        <w:jc w:val="both"/>
        <w:rPr>
          <w:rFonts w:ascii="Arial" w:eastAsia="Calibri" w:hAnsi="Arial" w:cs="Arial"/>
          <w:sz w:val="24"/>
          <w:szCs w:val="24"/>
        </w:rPr>
      </w:pPr>
    </w:p>
    <w:p w:rsidR="0060407A" w:rsidRDefault="00DF2466" w:rsidP="0060407A">
      <w:pPr>
        <w:pStyle w:val="Heading2"/>
        <w:rPr>
          <w:rFonts w:ascii="Arial" w:hAnsi="Arial" w:cs="Arial"/>
          <w:b/>
          <w:color w:val="0D0D0D" w:themeColor="text1" w:themeTint="F2"/>
          <w:sz w:val="24"/>
          <w:szCs w:val="24"/>
        </w:rPr>
      </w:pPr>
      <w:r>
        <w:rPr>
          <w:rFonts w:ascii="Arial" w:hAnsi="Arial" w:cs="Arial"/>
          <w:b/>
          <w:color w:val="0D0D0D" w:themeColor="text1" w:themeTint="F2"/>
          <w:sz w:val="24"/>
          <w:szCs w:val="24"/>
        </w:rPr>
        <w:t xml:space="preserve">3.7 </w:t>
      </w:r>
      <w:r w:rsidR="0060407A" w:rsidRPr="0060407A">
        <w:rPr>
          <w:rFonts w:ascii="Arial" w:hAnsi="Arial" w:cs="Arial"/>
          <w:b/>
          <w:color w:val="0D0D0D" w:themeColor="text1" w:themeTint="F2"/>
          <w:sz w:val="24"/>
          <w:szCs w:val="24"/>
        </w:rPr>
        <w:t>Goal 19: Africa as a major partner in global affairs and peaceful co-existence</w:t>
      </w:r>
    </w:p>
    <w:p w:rsidR="00885A10" w:rsidRPr="007A199D" w:rsidRDefault="00133510" w:rsidP="007826B5">
      <w:pPr>
        <w:pStyle w:val="Heading1"/>
        <w:spacing w:line="360" w:lineRule="auto"/>
        <w:rPr>
          <w:rFonts w:ascii="Arial" w:hAnsi="Arial" w:cs="Arial"/>
          <w:b/>
          <w:color w:val="0D0D0D" w:themeColor="text1" w:themeTint="F2"/>
          <w:sz w:val="28"/>
          <w:szCs w:val="28"/>
        </w:rPr>
      </w:pPr>
      <w:r w:rsidRPr="007A199D">
        <w:rPr>
          <w:rFonts w:ascii="Arial" w:hAnsi="Arial" w:cs="Arial"/>
          <w:b/>
          <w:color w:val="0D0D0D" w:themeColor="text1" w:themeTint="F2"/>
          <w:sz w:val="28"/>
          <w:szCs w:val="28"/>
        </w:rPr>
        <w:t xml:space="preserve">4.0 </w:t>
      </w:r>
      <w:r w:rsidR="00885A10" w:rsidRPr="007A199D">
        <w:rPr>
          <w:rFonts w:ascii="Arial" w:hAnsi="Arial" w:cs="Arial"/>
          <w:b/>
          <w:color w:val="0D0D0D" w:themeColor="text1" w:themeTint="F2"/>
          <w:sz w:val="28"/>
          <w:szCs w:val="28"/>
        </w:rPr>
        <w:t>CHALLENGES AN</w:t>
      </w:r>
      <w:r w:rsidR="00791DBC" w:rsidRPr="007A199D">
        <w:rPr>
          <w:rFonts w:ascii="Arial" w:hAnsi="Arial" w:cs="Arial"/>
          <w:b/>
          <w:color w:val="0D0D0D" w:themeColor="text1" w:themeTint="F2"/>
          <w:sz w:val="28"/>
          <w:szCs w:val="28"/>
        </w:rPr>
        <w:t>D</w:t>
      </w:r>
      <w:r w:rsidR="00885A10" w:rsidRPr="007A199D">
        <w:rPr>
          <w:rFonts w:ascii="Arial" w:hAnsi="Arial" w:cs="Arial"/>
          <w:b/>
          <w:color w:val="0D0D0D" w:themeColor="text1" w:themeTint="F2"/>
          <w:sz w:val="28"/>
          <w:szCs w:val="28"/>
        </w:rPr>
        <w:t xml:space="preserve"> OPPORTUNITIES</w:t>
      </w:r>
    </w:p>
    <w:p w:rsidR="00791DBC" w:rsidRPr="007826B5" w:rsidRDefault="00791DBC" w:rsidP="007826B5">
      <w:pPr>
        <w:spacing w:line="360" w:lineRule="auto"/>
        <w:jc w:val="both"/>
        <w:rPr>
          <w:rFonts w:ascii="Arial" w:hAnsi="Arial" w:cs="Arial"/>
          <w:sz w:val="24"/>
          <w:szCs w:val="24"/>
        </w:rPr>
      </w:pPr>
      <w:r w:rsidRPr="007826B5">
        <w:rPr>
          <w:rFonts w:ascii="Arial" w:hAnsi="Arial" w:cs="Arial"/>
          <w:sz w:val="24"/>
          <w:szCs w:val="24"/>
        </w:rPr>
        <w:t>I</w:t>
      </w:r>
      <w:r w:rsidR="00FE7BF4" w:rsidRPr="007826B5">
        <w:rPr>
          <w:rFonts w:ascii="Arial" w:hAnsi="Arial" w:cs="Arial"/>
          <w:sz w:val="24"/>
          <w:szCs w:val="24"/>
        </w:rPr>
        <w:t>mpelled by the pursu</w:t>
      </w:r>
      <w:r w:rsidR="005836C2" w:rsidRPr="007826B5">
        <w:rPr>
          <w:rFonts w:ascii="Arial" w:hAnsi="Arial" w:cs="Arial"/>
          <w:sz w:val="24"/>
          <w:szCs w:val="24"/>
        </w:rPr>
        <w:t>it to implement</w:t>
      </w:r>
      <w:r w:rsidRPr="007826B5">
        <w:rPr>
          <w:rFonts w:ascii="Arial" w:hAnsi="Arial" w:cs="Arial"/>
          <w:sz w:val="24"/>
          <w:szCs w:val="24"/>
        </w:rPr>
        <w:t xml:space="preserve"> the Aspirations and Goals of Agenda 2063, Botswana has faced challenges of data availability. This is mainly because tracking progress being made in the implementation of each target requires detailed data</w:t>
      </w:r>
      <w:r w:rsidR="00233D5D" w:rsidRPr="007826B5">
        <w:rPr>
          <w:rFonts w:ascii="Arial" w:hAnsi="Arial" w:cs="Arial"/>
          <w:sz w:val="24"/>
          <w:szCs w:val="24"/>
        </w:rPr>
        <w:t>,</w:t>
      </w:r>
      <w:r w:rsidRPr="007826B5">
        <w:rPr>
          <w:rFonts w:ascii="Arial" w:hAnsi="Arial" w:cs="Arial"/>
          <w:sz w:val="24"/>
          <w:szCs w:val="24"/>
        </w:rPr>
        <w:t xml:space="preserve"> disaggregated a</w:t>
      </w:r>
      <w:r w:rsidR="00FE7BF4" w:rsidRPr="007826B5">
        <w:rPr>
          <w:rFonts w:ascii="Arial" w:hAnsi="Arial" w:cs="Arial"/>
          <w:sz w:val="24"/>
          <w:szCs w:val="24"/>
        </w:rPr>
        <w:t>ccording to</w:t>
      </w:r>
      <w:r w:rsidRPr="007826B5">
        <w:rPr>
          <w:rFonts w:ascii="Arial" w:hAnsi="Arial" w:cs="Arial"/>
          <w:sz w:val="24"/>
          <w:szCs w:val="24"/>
        </w:rPr>
        <w:t xml:space="preserve"> gender, regions and social status of the population. To th</w:t>
      </w:r>
      <w:r w:rsidR="00FE7BF4" w:rsidRPr="007826B5">
        <w:rPr>
          <w:rFonts w:ascii="Arial" w:hAnsi="Arial" w:cs="Arial"/>
          <w:sz w:val="24"/>
          <w:szCs w:val="24"/>
        </w:rPr>
        <w:t>is</w:t>
      </w:r>
      <w:r w:rsidRPr="007826B5">
        <w:rPr>
          <w:rFonts w:ascii="Arial" w:hAnsi="Arial" w:cs="Arial"/>
          <w:sz w:val="24"/>
          <w:szCs w:val="24"/>
        </w:rPr>
        <w:t xml:space="preserve"> end</w:t>
      </w:r>
      <w:r w:rsidR="00FE7BF4" w:rsidRPr="007826B5">
        <w:rPr>
          <w:rFonts w:ascii="Arial" w:hAnsi="Arial" w:cs="Arial"/>
          <w:sz w:val="24"/>
          <w:szCs w:val="24"/>
        </w:rPr>
        <w:t>,</w:t>
      </w:r>
      <w:r w:rsidRPr="007826B5">
        <w:rPr>
          <w:rFonts w:ascii="Arial" w:hAnsi="Arial" w:cs="Arial"/>
          <w:sz w:val="24"/>
          <w:szCs w:val="24"/>
        </w:rPr>
        <w:t xml:space="preserve"> baseline data forms </w:t>
      </w:r>
      <w:r w:rsidR="00FE7BF4" w:rsidRPr="007826B5">
        <w:rPr>
          <w:rFonts w:ascii="Arial" w:hAnsi="Arial" w:cs="Arial"/>
          <w:sz w:val="24"/>
          <w:szCs w:val="24"/>
        </w:rPr>
        <w:t xml:space="preserve">a </w:t>
      </w:r>
      <w:r w:rsidRPr="007826B5">
        <w:rPr>
          <w:rFonts w:ascii="Arial" w:hAnsi="Arial" w:cs="Arial"/>
          <w:sz w:val="24"/>
          <w:szCs w:val="24"/>
        </w:rPr>
        <w:t xml:space="preserve">core part of the commencement of the implementation process. Such data is not readily available </w:t>
      </w:r>
      <w:proofErr w:type="gramStart"/>
      <w:r w:rsidRPr="007826B5">
        <w:rPr>
          <w:rFonts w:ascii="Arial" w:hAnsi="Arial" w:cs="Arial"/>
          <w:sz w:val="24"/>
          <w:szCs w:val="24"/>
        </w:rPr>
        <w:t>and in some cases</w:t>
      </w:r>
      <w:proofErr w:type="gramEnd"/>
      <w:r w:rsidR="00536276" w:rsidRPr="007826B5">
        <w:rPr>
          <w:rFonts w:ascii="Arial" w:hAnsi="Arial" w:cs="Arial"/>
          <w:sz w:val="24"/>
          <w:szCs w:val="24"/>
        </w:rPr>
        <w:t xml:space="preserve"> th</w:t>
      </w:r>
      <w:r w:rsidR="00FE7BF4" w:rsidRPr="007826B5">
        <w:rPr>
          <w:rFonts w:ascii="Arial" w:hAnsi="Arial" w:cs="Arial"/>
          <w:sz w:val="24"/>
          <w:szCs w:val="24"/>
        </w:rPr>
        <w:t>e</w:t>
      </w:r>
      <w:r w:rsidR="00536276" w:rsidRPr="007826B5">
        <w:rPr>
          <w:rFonts w:ascii="Arial" w:hAnsi="Arial" w:cs="Arial"/>
          <w:sz w:val="24"/>
          <w:szCs w:val="24"/>
        </w:rPr>
        <w:t xml:space="preserve"> available</w:t>
      </w:r>
      <w:r w:rsidR="00FE7BF4" w:rsidRPr="007826B5">
        <w:rPr>
          <w:rFonts w:ascii="Arial" w:hAnsi="Arial" w:cs="Arial"/>
          <w:sz w:val="24"/>
          <w:szCs w:val="24"/>
        </w:rPr>
        <w:t xml:space="preserve"> data</w:t>
      </w:r>
      <w:r w:rsidR="00536276" w:rsidRPr="007826B5">
        <w:rPr>
          <w:rFonts w:ascii="Arial" w:hAnsi="Arial" w:cs="Arial"/>
          <w:sz w:val="24"/>
          <w:szCs w:val="24"/>
        </w:rPr>
        <w:t xml:space="preserve"> </w:t>
      </w:r>
      <w:r w:rsidR="00FE7BF4" w:rsidRPr="007826B5">
        <w:rPr>
          <w:rFonts w:ascii="Arial" w:hAnsi="Arial" w:cs="Arial"/>
          <w:sz w:val="24"/>
          <w:szCs w:val="24"/>
        </w:rPr>
        <w:t>is</w:t>
      </w:r>
      <w:r w:rsidR="00536276" w:rsidRPr="007826B5">
        <w:rPr>
          <w:rFonts w:ascii="Arial" w:hAnsi="Arial" w:cs="Arial"/>
          <w:sz w:val="24"/>
          <w:szCs w:val="24"/>
        </w:rPr>
        <w:t xml:space="preserve"> not up to date</w:t>
      </w:r>
      <w:r w:rsidR="006B11EB" w:rsidRPr="007826B5">
        <w:rPr>
          <w:rFonts w:ascii="Arial" w:hAnsi="Arial" w:cs="Arial"/>
          <w:sz w:val="24"/>
          <w:szCs w:val="24"/>
        </w:rPr>
        <w:t xml:space="preserve"> </w:t>
      </w:r>
      <w:r w:rsidR="00FD6C20">
        <w:rPr>
          <w:rFonts w:ascii="Arial" w:hAnsi="Arial" w:cs="Arial"/>
          <w:sz w:val="24"/>
          <w:szCs w:val="24"/>
        </w:rPr>
        <w:t>or is</w:t>
      </w:r>
      <w:r w:rsidR="00FE7BF4" w:rsidRPr="007826B5">
        <w:rPr>
          <w:rFonts w:ascii="Arial" w:hAnsi="Arial" w:cs="Arial"/>
          <w:sz w:val="24"/>
          <w:szCs w:val="24"/>
        </w:rPr>
        <w:t xml:space="preserve"> not in</w:t>
      </w:r>
      <w:r w:rsidR="006B11EB" w:rsidRPr="007826B5">
        <w:rPr>
          <w:rFonts w:ascii="Arial" w:hAnsi="Arial" w:cs="Arial"/>
          <w:sz w:val="24"/>
          <w:szCs w:val="24"/>
        </w:rPr>
        <w:t xml:space="preserve"> the </w:t>
      </w:r>
      <w:r w:rsidR="00D07143">
        <w:rPr>
          <w:rFonts w:ascii="Arial" w:hAnsi="Arial" w:cs="Arial"/>
          <w:sz w:val="24"/>
          <w:szCs w:val="24"/>
        </w:rPr>
        <w:t xml:space="preserve">format </w:t>
      </w:r>
      <w:r w:rsidR="006B11EB" w:rsidRPr="007826B5">
        <w:rPr>
          <w:rFonts w:ascii="Arial" w:hAnsi="Arial" w:cs="Arial"/>
          <w:sz w:val="24"/>
          <w:szCs w:val="24"/>
        </w:rPr>
        <w:t xml:space="preserve">required </w:t>
      </w:r>
      <w:r w:rsidR="00D07143">
        <w:rPr>
          <w:rFonts w:ascii="Arial" w:hAnsi="Arial" w:cs="Arial"/>
          <w:sz w:val="24"/>
          <w:szCs w:val="24"/>
        </w:rPr>
        <w:t>by Agenda 2063 indicators</w:t>
      </w:r>
      <w:r w:rsidR="00536276" w:rsidRPr="007826B5">
        <w:rPr>
          <w:rFonts w:ascii="Arial" w:hAnsi="Arial" w:cs="Arial"/>
          <w:sz w:val="24"/>
          <w:szCs w:val="24"/>
        </w:rPr>
        <w:t>.</w:t>
      </w:r>
      <w:r w:rsidR="006B11EB" w:rsidRPr="007826B5">
        <w:rPr>
          <w:rFonts w:ascii="Arial" w:hAnsi="Arial" w:cs="Arial"/>
          <w:sz w:val="24"/>
          <w:szCs w:val="24"/>
        </w:rPr>
        <w:t xml:space="preserve"> </w:t>
      </w:r>
      <w:r w:rsidR="00FE7BF4" w:rsidRPr="007826B5">
        <w:rPr>
          <w:rFonts w:ascii="Arial" w:hAnsi="Arial" w:cs="Arial"/>
          <w:sz w:val="24"/>
          <w:szCs w:val="24"/>
        </w:rPr>
        <w:t>Furthermore,</w:t>
      </w:r>
      <w:r w:rsidR="00233D5D" w:rsidRPr="007826B5">
        <w:rPr>
          <w:rFonts w:ascii="Arial" w:hAnsi="Arial" w:cs="Arial"/>
          <w:sz w:val="24"/>
          <w:szCs w:val="24"/>
        </w:rPr>
        <w:t xml:space="preserve"> there is </w:t>
      </w:r>
      <w:r w:rsidR="00FE7BF4" w:rsidRPr="007826B5">
        <w:rPr>
          <w:rFonts w:ascii="Arial" w:hAnsi="Arial" w:cs="Arial"/>
          <w:sz w:val="24"/>
          <w:szCs w:val="24"/>
        </w:rPr>
        <w:t xml:space="preserve">a </w:t>
      </w:r>
      <w:r w:rsidR="00233D5D" w:rsidRPr="007826B5">
        <w:rPr>
          <w:rFonts w:ascii="Arial" w:hAnsi="Arial" w:cs="Arial"/>
          <w:sz w:val="24"/>
          <w:szCs w:val="24"/>
        </w:rPr>
        <w:t>challenge</w:t>
      </w:r>
      <w:r w:rsidR="006B11EB" w:rsidRPr="007826B5">
        <w:rPr>
          <w:rFonts w:ascii="Arial" w:hAnsi="Arial" w:cs="Arial"/>
          <w:sz w:val="24"/>
          <w:szCs w:val="24"/>
        </w:rPr>
        <w:t xml:space="preserve"> of data </w:t>
      </w:r>
      <w:proofErr w:type="gramStart"/>
      <w:r w:rsidR="006B11EB" w:rsidRPr="007826B5">
        <w:rPr>
          <w:rFonts w:ascii="Arial" w:hAnsi="Arial" w:cs="Arial"/>
          <w:sz w:val="24"/>
          <w:szCs w:val="24"/>
        </w:rPr>
        <w:t xml:space="preserve">being </w:t>
      </w:r>
      <w:r w:rsidR="00BB7351" w:rsidRPr="007826B5">
        <w:rPr>
          <w:rFonts w:ascii="Arial" w:hAnsi="Arial" w:cs="Arial"/>
          <w:sz w:val="24"/>
          <w:szCs w:val="24"/>
        </w:rPr>
        <w:t>located in</w:t>
      </w:r>
      <w:proofErr w:type="gramEnd"/>
      <w:r w:rsidR="006B11EB" w:rsidRPr="007826B5">
        <w:rPr>
          <w:rFonts w:ascii="Arial" w:hAnsi="Arial" w:cs="Arial"/>
          <w:sz w:val="24"/>
          <w:szCs w:val="24"/>
        </w:rPr>
        <w:t xml:space="preserve"> different </w:t>
      </w:r>
      <w:r w:rsidR="00233D5D" w:rsidRPr="007826B5">
        <w:rPr>
          <w:rFonts w:ascii="Arial" w:hAnsi="Arial" w:cs="Arial"/>
          <w:sz w:val="24"/>
          <w:szCs w:val="24"/>
        </w:rPr>
        <w:t>sectors</w:t>
      </w:r>
      <w:r w:rsidR="006B11EB" w:rsidRPr="007826B5">
        <w:rPr>
          <w:rFonts w:ascii="Arial" w:hAnsi="Arial" w:cs="Arial"/>
          <w:sz w:val="24"/>
          <w:szCs w:val="24"/>
        </w:rPr>
        <w:t xml:space="preserve"> instead of </w:t>
      </w:r>
      <w:r w:rsidR="00BB7351" w:rsidRPr="007826B5">
        <w:rPr>
          <w:rFonts w:ascii="Arial" w:hAnsi="Arial" w:cs="Arial"/>
          <w:sz w:val="24"/>
          <w:szCs w:val="24"/>
        </w:rPr>
        <w:t>being housed</w:t>
      </w:r>
      <w:r w:rsidR="005836C2" w:rsidRPr="007826B5">
        <w:rPr>
          <w:rFonts w:ascii="Arial" w:hAnsi="Arial" w:cs="Arial"/>
          <w:sz w:val="24"/>
          <w:szCs w:val="24"/>
        </w:rPr>
        <w:t xml:space="preserve"> </w:t>
      </w:r>
      <w:r w:rsidR="00BB7351" w:rsidRPr="007826B5">
        <w:rPr>
          <w:rFonts w:ascii="Arial" w:hAnsi="Arial" w:cs="Arial"/>
          <w:sz w:val="24"/>
          <w:szCs w:val="24"/>
        </w:rPr>
        <w:t xml:space="preserve">and </w:t>
      </w:r>
      <w:r w:rsidR="006B11EB" w:rsidRPr="007826B5">
        <w:rPr>
          <w:rFonts w:ascii="Arial" w:hAnsi="Arial" w:cs="Arial"/>
          <w:sz w:val="24"/>
          <w:szCs w:val="24"/>
        </w:rPr>
        <w:lastRenderedPageBreak/>
        <w:t xml:space="preserve">coordinated </w:t>
      </w:r>
      <w:r w:rsidR="00BB7351" w:rsidRPr="007826B5">
        <w:rPr>
          <w:rFonts w:ascii="Arial" w:hAnsi="Arial" w:cs="Arial"/>
          <w:sz w:val="24"/>
          <w:szCs w:val="24"/>
        </w:rPr>
        <w:t xml:space="preserve">by </w:t>
      </w:r>
      <w:r w:rsidR="00D07143">
        <w:rPr>
          <w:rFonts w:ascii="Arial" w:hAnsi="Arial" w:cs="Arial"/>
          <w:sz w:val="24"/>
          <w:szCs w:val="24"/>
        </w:rPr>
        <w:t>Statistics Botswana</w:t>
      </w:r>
      <w:r w:rsidR="00233D5D" w:rsidRPr="007826B5">
        <w:rPr>
          <w:rFonts w:ascii="Arial" w:hAnsi="Arial" w:cs="Arial"/>
          <w:sz w:val="24"/>
          <w:szCs w:val="24"/>
        </w:rPr>
        <w:t xml:space="preserve"> </w:t>
      </w:r>
      <w:r w:rsidR="006B11EB" w:rsidRPr="007826B5">
        <w:rPr>
          <w:rFonts w:ascii="Arial" w:hAnsi="Arial" w:cs="Arial"/>
          <w:sz w:val="24"/>
          <w:szCs w:val="24"/>
        </w:rPr>
        <w:t>for better</w:t>
      </w:r>
      <w:r w:rsidR="00BB7351" w:rsidRPr="007826B5">
        <w:rPr>
          <w:rFonts w:ascii="Arial" w:hAnsi="Arial" w:cs="Arial"/>
          <w:sz w:val="24"/>
          <w:szCs w:val="24"/>
        </w:rPr>
        <w:t xml:space="preserve"> collation, tracking,</w:t>
      </w:r>
      <w:r w:rsidR="006B11EB" w:rsidRPr="007826B5">
        <w:rPr>
          <w:rFonts w:ascii="Arial" w:hAnsi="Arial" w:cs="Arial"/>
          <w:sz w:val="24"/>
          <w:szCs w:val="24"/>
        </w:rPr>
        <w:t xml:space="preserve"> monitoring</w:t>
      </w:r>
      <w:r w:rsidR="00CD17AB" w:rsidRPr="007826B5">
        <w:rPr>
          <w:rFonts w:ascii="Arial" w:hAnsi="Arial" w:cs="Arial"/>
          <w:sz w:val="24"/>
          <w:szCs w:val="24"/>
        </w:rPr>
        <w:t xml:space="preserve"> and evaluation.</w:t>
      </w:r>
    </w:p>
    <w:p w:rsidR="00CD17AB" w:rsidRDefault="00CD17AB" w:rsidP="007826B5">
      <w:pPr>
        <w:spacing w:line="360" w:lineRule="auto"/>
        <w:jc w:val="both"/>
        <w:rPr>
          <w:rFonts w:ascii="Arial" w:hAnsi="Arial" w:cs="Arial"/>
          <w:sz w:val="24"/>
          <w:szCs w:val="24"/>
        </w:rPr>
      </w:pPr>
      <w:r w:rsidRPr="007826B5">
        <w:rPr>
          <w:rFonts w:ascii="Arial" w:hAnsi="Arial" w:cs="Arial"/>
          <w:sz w:val="24"/>
          <w:szCs w:val="24"/>
        </w:rPr>
        <w:t>Botswana also needs to address the many</w:t>
      </w:r>
      <w:r w:rsidR="00FD6C20">
        <w:rPr>
          <w:rFonts w:ascii="Arial" w:hAnsi="Arial" w:cs="Arial"/>
          <w:sz w:val="24"/>
          <w:szCs w:val="24"/>
        </w:rPr>
        <w:t xml:space="preserve"> data</w:t>
      </w:r>
      <w:r w:rsidRPr="007826B5">
        <w:rPr>
          <w:rFonts w:ascii="Arial" w:hAnsi="Arial" w:cs="Arial"/>
          <w:sz w:val="24"/>
          <w:szCs w:val="24"/>
        </w:rPr>
        <w:t xml:space="preserve"> gaps</w:t>
      </w:r>
      <w:r w:rsidR="00FD6C20">
        <w:rPr>
          <w:rFonts w:ascii="Arial" w:hAnsi="Arial" w:cs="Arial"/>
          <w:sz w:val="24"/>
          <w:szCs w:val="24"/>
        </w:rPr>
        <w:t xml:space="preserve"> observed in the different</w:t>
      </w:r>
      <w:r w:rsidRPr="007826B5">
        <w:rPr>
          <w:rFonts w:ascii="Arial" w:hAnsi="Arial" w:cs="Arial"/>
          <w:sz w:val="24"/>
          <w:szCs w:val="24"/>
        </w:rPr>
        <w:t xml:space="preserve"> sectors. It needs to modernize the national monitoring system at national and sub-national levels to ensure an </w:t>
      </w:r>
      <w:r w:rsidR="00161A89" w:rsidRPr="007826B5">
        <w:rPr>
          <w:rFonts w:ascii="Arial" w:hAnsi="Arial" w:cs="Arial"/>
          <w:sz w:val="24"/>
          <w:szCs w:val="24"/>
        </w:rPr>
        <w:t>integrated</w:t>
      </w:r>
      <w:r w:rsidR="00FD6C20">
        <w:rPr>
          <w:rFonts w:ascii="Arial" w:hAnsi="Arial" w:cs="Arial"/>
          <w:sz w:val="24"/>
          <w:szCs w:val="24"/>
        </w:rPr>
        <w:t xml:space="preserve"> system</w:t>
      </w:r>
      <w:r w:rsidR="0034221D">
        <w:rPr>
          <w:rFonts w:ascii="Arial" w:hAnsi="Arial" w:cs="Arial"/>
          <w:sz w:val="24"/>
          <w:szCs w:val="24"/>
        </w:rPr>
        <w:t>.</w:t>
      </w:r>
      <w:r w:rsidR="00FD6C20">
        <w:rPr>
          <w:rFonts w:ascii="Arial" w:hAnsi="Arial" w:cs="Arial"/>
          <w:sz w:val="24"/>
          <w:szCs w:val="24"/>
        </w:rPr>
        <w:t xml:space="preserve"> </w:t>
      </w:r>
    </w:p>
    <w:p w:rsidR="00227A30" w:rsidRDefault="00227A30" w:rsidP="007826B5">
      <w:pPr>
        <w:spacing w:line="360" w:lineRule="auto"/>
        <w:jc w:val="both"/>
        <w:rPr>
          <w:rFonts w:ascii="Arial" w:hAnsi="Arial" w:cs="Arial"/>
          <w:sz w:val="24"/>
          <w:szCs w:val="24"/>
        </w:rPr>
      </w:pPr>
      <w:r>
        <w:rPr>
          <w:rFonts w:ascii="Arial" w:hAnsi="Arial" w:cs="Arial"/>
          <w:sz w:val="24"/>
          <w:szCs w:val="24"/>
        </w:rPr>
        <w:t>This is the first progress report on Agenda 2063 goals and targets. Going forward, the country will continue to explore opportunities to be able to report comprehensively on all the components within the required level of detail.</w:t>
      </w:r>
    </w:p>
    <w:p w:rsidR="00227A30" w:rsidRPr="007826B5" w:rsidRDefault="00227A30" w:rsidP="007826B5">
      <w:pPr>
        <w:spacing w:line="360" w:lineRule="auto"/>
        <w:jc w:val="both"/>
        <w:rPr>
          <w:rFonts w:ascii="Arial" w:hAnsi="Arial" w:cs="Arial"/>
          <w:sz w:val="24"/>
          <w:szCs w:val="24"/>
        </w:rPr>
      </w:pPr>
    </w:p>
    <w:p w:rsidR="00885A10" w:rsidRPr="007A199D" w:rsidRDefault="00133510" w:rsidP="007826B5">
      <w:pPr>
        <w:pStyle w:val="Heading1"/>
        <w:spacing w:line="360" w:lineRule="auto"/>
        <w:rPr>
          <w:rFonts w:ascii="Arial" w:hAnsi="Arial" w:cs="Arial"/>
          <w:b/>
          <w:color w:val="0D0D0D" w:themeColor="text1" w:themeTint="F2"/>
          <w:sz w:val="28"/>
          <w:szCs w:val="28"/>
        </w:rPr>
      </w:pPr>
      <w:r w:rsidRPr="007A199D">
        <w:rPr>
          <w:rFonts w:ascii="Arial" w:hAnsi="Arial" w:cs="Arial"/>
          <w:b/>
          <w:color w:val="0D0D0D" w:themeColor="text1" w:themeTint="F2"/>
          <w:sz w:val="28"/>
          <w:szCs w:val="28"/>
        </w:rPr>
        <w:t xml:space="preserve">5.0 </w:t>
      </w:r>
      <w:r w:rsidR="001976F6" w:rsidRPr="007A199D">
        <w:rPr>
          <w:rFonts w:ascii="Arial" w:hAnsi="Arial" w:cs="Arial"/>
          <w:b/>
          <w:color w:val="0D0D0D" w:themeColor="text1" w:themeTint="F2"/>
          <w:sz w:val="28"/>
          <w:szCs w:val="28"/>
        </w:rPr>
        <w:t>KEY LESSONS LEARNT</w:t>
      </w:r>
    </w:p>
    <w:p w:rsidR="003678CB" w:rsidRDefault="0034221D" w:rsidP="007826B5">
      <w:pPr>
        <w:spacing w:line="360" w:lineRule="auto"/>
        <w:jc w:val="both"/>
        <w:rPr>
          <w:rFonts w:ascii="Arial" w:hAnsi="Arial" w:cs="Arial"/>
          <w:sz w:val="24"/>
          <w:szCs w:val="24"/>
        </w:rPr>
      </w:pPr>
      <w:r>
        <w:rPr>
          <w:rFonts w:ascii="Arial" w:hAnsi="Arial" w:cs="Arial"/>
          <w:sz w:val="24"/>
          <w:szCs w:val="24"/>
        </w:rPr>
        <w:t xml:space="preserve">Botswana made </w:t>
      </w:r>
      <w:r w:rsidR="001976F6" w:rsidRPr="007826B5">
        <w:rPr>
          <w:rFonts w:ascii="Arial" w:hAnsi="Arial" w:cs="Arial"/>
          <w:sz w:val="24"/>
          <w:szCs w:val="24"/>
        </w:rPr>
        <w:t>strides</w:t>
      </w:r>
      <w:r>
        <w:rPr>
          <w:rFonts w:ascii="Arial" w:hAnsi="Arial" w:cs="Arial"/>
          <w:sz w:val="24"/>
          <w:szCs w:val="24"/>
        </w:rPr>
        <w:t xml:space="preserve"> in making </w:t>
      </w:r>
      <w:r w:rsidR="00DF45B7" w:rsidRPr="007826B5">
        <w:rPr>
          <w:rFonts w:ascii="Arial" w:hAnsi="Arial" w:cs="Arial"/>
          <w:sz w:val="24"/>
          <w:szCs w:val="24"/>
        </w:rPr>
        <w:t>c</w:t>
      </w:r>
      <w:r w:rsidR="001976F6" w:rsidRPr="007826B5">
        <w:rPr>
          <w:rFonts w:ascii="Arial" w:hAnsi="Arial" w:cs="Arial"/>
          <w:sz w:val="24"/>
          <w:szCs w:val="24"/>
        </w:rPr>
        <w:t xml:space="preserve">ommunity led interventions more effective. </w:t>
      </w:r>
      <w:r w:rsidR="00BB7351" w:rsidRPr="007826B5">
        <w:rPr>
          <w:rFonts w:ascii="Arial" w:hAnsi="Arial" w:cs="Arial"/>
          <w:sz w:val="24"/>
          <w:szCs w:val="24"/>
        </w:rPr>
        <w:t>In some instance</w:t>
      </w:r>
      <w:r w:rsidR="003678CB">
        <w:rPr>
          <w:rFonts w:ascii="Arial" w:hAnsi="Arial" w:cs="Arial"/>
          <w:sz w:val="24"/>
          <w:szCs w:val="24"/>
        </w:rPr>
        <w:t>s,</w:t>
      </w:r>
      <w:r w:rsidR="001976F6" w:rsidRPr="007826B5">
        <w:rPr>
          <w:rFonts w:ascii="Arial" w:hAnsi="Arial" w:cs="Arial"/>
          <w:sz w:val="24"/>
          <w:szCs w:val="24"/>
        </w:rPr>
        <w:t xml:space="preserve"> the coordination of </w:t>
      </w:r>
      <w:r w:rsidR="005836C2" w:rsidRPr="007826B5">
        <w:rPr>
          <w:rFonts w:ascii="Arial" w:hAnsi="Arial" w:cs="Arial"/>
          <w:sz w:val="24"/>
          <w:szCs w:val="24"/>
        </w:rPr>
        <w:t>critical</w:t>
      </w:r>
      <w:r w:rsidR="00BB7351" w:rsidRPr="007826B5">
        <w:rPr>
          <w:rFonts w:ascii="Arial" w:hAnsi="Arial" w:cs="Arial"/>
          <w:sz w:val="24"/>
          <w:szCs w:val="24"/>
        </w:rPr>
        <w:t xml:space="preserve"> development imperatives like the eradication of </w:t>
      </w:r>
      <w:r w:rsidR="001976F6" w:rsidRPr="007826B5">
        <w:rPr>
          <w:rFonts w:ascii="Arial" w:hAnsi="Arial" w:cs="Arial"/>
          <w:sz w:val="24"/>
          <w:szCs w:val="24"/>
        </w:rPr>
        <w:t xml:space="preserve">poverty </w:t>
      </w:r>
      <w:r w:rsidR="00BB7351" w:rsidRPr="007826B5">
        <w:rPr>
          <w:rFonts w:ascii="Arial" w:hAnsi="Arial" w:cs="Arial"/>
          <w:sz w:val="24"/>
          <w:szCs w:val="24"/>
        </w:rPr>
        <w:t>and dealing with HIV/AIDS matters are housed under</w:t>
      </w:r>
      <w:r w:rsidR="001976F6" w:rsidRPr="007826B5">
        <w:rPr>
          <w:rFonts w:ascii="Arial" w:hAnsi="Arial" w:cs="Arial"/>
          <w:sz w:val="24"/>
          <w:szCs w:val="24"/>
        </w:rPr>
        <w:t xml:space="preserve"> the Office of the President</w:t>
      </w:r>
      <w:r w:rsidR="00BB7351" w:rsidRPr="007826B5">
        <w:rPr>
          <w:rFonts w:ascii="Arial" w:hAnsi="Arial" w:cs="Arial"/>
          <w:sz w:val="24"/>
          <w:szCs w:val="24"/>
        </w:rPr>
        <w:t xml:space="preserve"> for effective coordination and timely </w:t>
      </w:r>
      <w:r w:rsidR="005836C2" w:rsidRPr="007826B5">
        <w:rPr>
          <w:rFonts w:ascii="Arial" w:hAnsi="Arial" w:cs="Arial"/>
          <w:sz w:val="24"/>
          <w:szCs w:val="24"/>
        </w:rPr>
        <w:t>interventions</w:t>
      </w:r>
      <w:r w:rsidR="00BB7351" w:rsidRPr="007826B5">
        <w:rPr>
          <w:rFonts w:ascii="Arial" w:hAnsi="Arial" w:cs="Arial"/>
          <w:sz w:val="24"/>
          <w:szCs w:val="24"/>
        </w:rPr>
        <w:t>.</w:t>
      </w:r>
      <w:r w:rsidR="005836C2" w:rsidRPr="007826B5">
        <w:rPr>
          <w:rFonts w:ascii="Arial" w:hAnsi="Arial" w:cs="Arial"/>
          <w:sz w:val="24"/>
          <w:szCs w:val="24"/>
        </w:rPr>
        <w:t xml:space="preserve"> </w:t>
      </w:r>
    </w:p>
    <w:p w:rsidR="00151F4E" w:rsidRPr="007826B5" w:rsidRDefault="001976F6" w:rsidP="007826B5">
      <w:pPr>
        <w:spacing w:line="360" w:lineRule="auto"/>
        <w:jc w:val="both"/>
        <w:rPr>
          <w:rFonts w:ascii="Arial" w:hAnsi="Arial" w:cs="Arial"/>
          <w:sz w:val="24"/>
          <w:szCs w:val="24"/>
        </w:rPr>
      </w:pPr>
      <w:r w:rsidRPr="007826B5">
        <w:rPr>
          <w:rFonts w:ascii="Arial" w:hAnsi="Arial" w:cs="Arial"/>
          <w:sz w:val="24"/>
          <w:szCs w:val="24"/>
        </w:rPr>
        <w:t>A clear emerging issue</w:t>
      </w:r>
      <w:r w:rsidR="00DF45B7" w:rsidRPr="007826B5">
        <w:rPr>
          <w:rFonts w:ascii="Arial" w:hAnsi="Arial" w:cs="Arial"/>
          <w:sz w:val="24"/>
          <w:szCs w:val="24"/>
        </w:rPr>
        <w:t xml:space="preserve"> </w:t>
      </w:r>
      <w:r w:rsidRPr="007826B5">
        <w:rPr>
          <w:rFonts w:ascii="Arial" w:hAnsi="Arial" w:cs="Arial"/>
          <w:sz w:val="24"/>
          <w:szCs w:val="24"/>
        </w:rPr>
        <w:t>is that while fast economic grow</w:t>
      </w:r>
      <w:r w:rsidR="00DF45B7" w:rsidRPr="007826B5">
        <w:rPr>
          <w:rFonts w:ascii="Arial" w:hAnsi="Arial" w:cs="Arial"/>
          <w:sz w:val="24"/>
          <w:szCs w:val="24"/>
        </w:rPr>
        <w:t>t</w:t>
      </w:r>
      <w:r w:rsidRPr="007826B5">
        <w:rPr>
          <w:rFonts w:ascii="Arial" w:hAnsi="Arial" w:cs="Arial"/>
          <w:sz w:val="24"/>
          <w:szCs w:val="24"/>
        </w:rPr>
        <w:t>h is necessary,</w:t>
      </w:r>
      <w:r w:rsidR="00DF45B7" w:rsidRPr="007826B5">
        <w:rPr>
          <w:rFonts w:ascii="Arial" w:hAnsi="Arial" w:cs="Arial"/>
          <w:sz w:val="24"/>
          <w:szCs w:val="24"/>
        </w:rPr>
        <w:t xml:space="preserve"> </w:t>
      </w:r>
      <w:r w:rsidRPr="007826B5">
        <w:rPr>
          <w:rFonts w:ascii="Arial" w:hAnsi="Arial" w:cs="Arial"/>
          <w:sz w:val="24"/>
          <w:szCs w:val="24"/>
        </w:rPr>
        <w:t xml:space="preserve">it is not </w:t>
      </w:r>
      <w:proofErr w:type="gramStart"/>
      <w:r w:rsidRPr="007826B5">
        <w:rPr>
          <w:rFonts w:ascii="Arial" w:hAnsi="Arial" w:cs="Arial"/>
          <w:sz w:val="24"/>
          <w:szCs w:val="24"/>
        </w:rPr>
        <w:t>sufficient</w:t>
      </w:r>
      <w:proofErr w:type="gramEnd"/>
      <w:r w:rsidRPr="007826B5">
        <w:rPr>
          <w:rFonts w:ascii="Arial" w:hAnsi="Arial" w:cs="Arial"/>
          <w:sz w:val="24"/>
          <w:szCs w:val="24"/>
        </w:rPr>
        <w:t xml:space="preserve"> in itself </w:t>
      </w:r>
      <w:r w:rsidR="00BB7351" w:rsidRPr="007826B5">
        <w:rPr>
          <w:rFonts w:ascii="Arial" w:hAnsi="Arial" w:cs="Arial"/>
          <w:sz w:val="24"/>
          <w:szCs w:val="24"/>
        </w:rPr>
        <w:t>to deal with the triple challenges of poverty, unemployment and inequality.</w:t>
      </w:r>
      <w:r w:rsidR="00BB7351" w:rsidRPr="007826B5" w:rsidDel="00BB7351">
        <w:rPr>
          <w:rFonts w:ascii="Arial" w:hAnsi="Arial" w:cs="Arial"/>
          <w:sz w:val="24"/>
          <w:szCs w:val="24"/>
        </w:rPr>
        <w:t xml:space="preserve"> </w:t>
      </w:r>
      <w:r w:rsidR="00151F4E" w:rsidRPr="007826B5">
        <w:rPr>
          <w:rFonts w:ascii="Arial" w:hAnsi="Arial" w:cs="Arial"/>
          <w:sz w:val="24"/>
          <w:szCs w:val="24"/>
        </w:rPr>
        <w:t xml:space="preserve">However, through the implementation of </w:t>
      </w:r>
      <w:r w:rsidR="00BB7351" w:rsidRPr="007826B5">
        <w:rPr>
          <w:rFonts w:ascii="Arial" w:hAnsi="Arial" w:cs="Arial"/>
          <w:sz w:val="24"/>
          <w:szCs w:val="24"/>
        </w:rPr>
        <w:t>the</w:t>
      </w:r>
      <w:r w:rsidR="00151F4E" w:rsidRPr="007826B5">
        <w:rPr>
          <w:rFonts w:ascii="Arial" w:hAnsi="Arial" w:cs="Arial"/>
          <w:sz w:val="24"/>
          <w:szCs w:val="24"/>
        </w:rPr>
        <w:t xml:space="preserve"> national development frameworks, Botswana has made considerable progress in terms of economic growth and at one point was the fastest growing economy</w:t>
      </w:r>
      <w:r w:rsidR="00680C6C" w:rsidRPr="007826B5">
        <w:rPr>
          <w:rFonts w:ascii="Arial" w:hAnsi="Arial" w:cs="Arial"/>
          <w:sz w:val="24"/>
          <w:szCs w:val="24"/>
        </w:rPr>
        <w:t xml:space="preserve"> in the region</w:t>
      </w:r>
      <w:r w:rsidR="00151F4E" w:rsidRPr="007826B5">
        <w:rPr>
          <w:rFonts w:ascii="Arial" w:hAnsi="Arial" w:cs="Arial"/>
          <w:sz w:val="24"/>
          <w:szCs w:val="24"/>
        </w:rPr>
        <w:t xml:space="preserve"> attributed in part to </w:t>
      </w:r>
      <w:r w:rsidR="00680C6C" w:rsidRPr="007826B5">
        <w:rPr>
          <w:rFonts w:ascii="Arial" w:hAnsi="Arial" w:cs="Arial"/>
          <w:sz w:val="24"/>
          <w:szCs w:val="24"/>
        </w:rPr>
        <w:t>the robust management of the country’s</w:t>
      </w:r>
      <w:r w:rsidR="005836C2" w:rsidRPr="007826B5">
        <w:rPr>
          <w:rFonts w:ascii="Arial" w:hAnsi="Arial" w:cs="Arial"/>
          <w:sz w:val="24"/>
          <w:szCs w:val="24"/>
        </w:rPr>
        <w:t xml:space="preserve"> </w:t>
      </w:r>
      <w:r w:rsidR="00680C6C" w:rsidRPr="007826B5">
        <w:rPr>
          <w:rFonts w:ascii="Arial" w:hAnsi="Arial" w:cs="Arial"/>
          <w:sz w:val="24"/>
          <w:szCs w:val="24"/>
        </w:rPr>
        <w:t>natural resources</w:t>
      </w:r>
      <w:r w:rsidR="00151F4E" w:rsidRPr="007826B5">
        <w:rPr>
          <w:rFonts w:ascii="Arial" w:hAnsi="Arial" w:cs="Arial"/>
          <w:sz w:val="24"/>
          <w:szCs w:val="24"/>
        </w:rPr>
        <w:t>.</w:t>
      </w:r>
      <w:r w:rsidR="00235DF9" w:rsidRPr="007826B5">
        <w:rPr>
          <w:rFonts w:ascii="Arial" w:hAnsi="Arial" w:cs="Arial"/>
          <w:sz w:val="24"/>
          <w:szCs w:val="24"/>
        </w:rPr>
        <w:t xml:space="preserve"> </w:t>
      </w:r>
    </w:p>
    <w:p w:rsidR="00885A10" w:rsidRPr="007826B5" w:rsidRDefault="00133510" w:rsidP="007826B5">
      <w:pPr>
        <w:pStyle w:val="Heading1"/>
        <w:spacing w:line="360" w:lineRule="auto"/>
        <w:rPr>
          <w:rFonts w:ascii="Arial" w:hAnsi="Arial" w:cs="Arial"/>
          <w:b/>
          <w:color w:val="0D0D0D" w:themeColor="text1" w:themeTint="F2"/>
          <w:sz w:val="24"/>
          <w:szCs w:val="24"/>
        </w:rPr>
      </w:pPr>
      <w:r w:rsidRPr="007826B5">
        <w:rPr>
          <w:rFonts w:ascii="Arial" w:hAnsi="Arial" w:cs="Arial"/>
          <w:b/>
          <w:color w:val="0D0D0D" w:themeColor="text1" w:themeTint="F2"/>
          <w:sz w:val="24"/>
          <w:szCs w:val="24"/>
        </w:rPr>
        <w:t xml:space="preserve">6.0 </w:t>
      </w:r>
      <w:r w:rsidR="00885A10" w:rsidRPr="007826B5">
        <w:rPr>
          <w:rFonts w:ascii="Arial" w:hAnsi="Arial" w:cs="Arial"/>
          <w:b/>
          <w:color w:val="0D0D0D" w:themeColor="text1" w:themeTint="F2"/>
          <w:sz w:val="24"/>
          <w:szCs w:val="24"/>
        </w:rPr>
        <w:t>CONCLUSION</w:t>
      </w:r>
    </w:p>
    <w:p w:rsidR="00A93DED" w:rsidRPr="007826B5" w:rsidRDefault="00EE2F17" w:rsidP="007826B5">
      <w:pPr>
        <w:spacing w:line="360" w:lineRule="auto"/>
        <w:jc w:val="both"/>
        <w:rPr>
          <w:rFonts w:ascii="Arial" w:hAnsi="Arial" w:cs="Arial"/>
          <w:sz w:val="24"/>
          <w:szCs w:val="24"/>
        </w:rPr>
      </w:pPr>
      <w:r w:rsidRPr="007826B5">
        <w:rPr>
          <w:rFonts w:ascii="Arial" w:hAnsi="Arial" w:cs="Arial"/>
          <w:sz w:val="24"/>
          <w:szCs w:val="24"/>
        </w:rPr>
        <w:t xml:space="preserve">Through the </w:t>
      </w:r>
      <w:r w:rsidR="00680C6C" w:rsidRPr="007826B5">
        <w:rPr>
          <w:rFonts w:ascii="Arial" w:hAnsi="Arial" w:cs="Arial"/>
          <w:sz w:val="24"/>
          <w:szCs w:val="24"/>
        </w:rPr>
        <w:t xml:space="preserve">direction of the </w:t>
      </w:r>
      <w:r w:rsidRPr="007826B5">
        <w:rPr>
          <w:rFonts w:ascii="Arial" w:hAnsi="Arial" w:cs="Arial"/>
          <w:sz w:val="24"/>
          <w:szCs w:val="24"/>
        </w:rPr>
        <w:t xml:space="preserve">national statistics office (Statistics Botswana), the country </w:t>
      </w:r>
      <w:proofErr w:type="gramStart"/>
      <w:r w:rsidRPr="007826B5">
        <w:rPr>
          <w:rFonts w:ascii="Arial" w:hAnsi="Arial" w:cs="Arial"/>
          <w:sz w:val="24"/>
          <w:szCs w:val="24"/>
        </w:rPr>
        <w:t>has to</w:t>
      </w:r>
      <w:proofErr w:type="gramEnd"/>
      <w:r w:rsidRPr="007826B5">
        <w:rPr>
          <w:rFonts w:ascii="Arial" w:hAnsi="Arial" w:cs="Arial"/>
          <w:sz w:val="24"/>
          <w:szCs w:val="24"/>
        </w:rPr>
        <w:t xml:space="preserve"> map all Agenda 2063 Aspiration</w:t>
      </w:r>
      <w:r w:rsidR="006B11EB" w:rsidRPr="007826B5">
        <w:rPr>
          <w:rFonts w:ascii="Arial" w:hAnsi="Arial" w:cs="Arial"/>
          <w:sz w:val="24"/>
          <w:szCs w:val="24"/>
        </w:rPr>
        <w:t>s</w:t>
      </w:r>
      <w:r w:rsidRPr="007826B5">
        <w:rPr>
          <w:rFonts w:ascii="Arial" w:hAnsi="Arial" w:cs="Arial"/>
          <w:sz w:val="24"/>
          <w:szCs w:val="24"/>
        </w:rPr>
        <w:t>, Goals and targets relevant and measurable in Botswana, and align them fully to the country’s Vision 2036, NDP 11 and the 2030 agenda for sustainable development (Susta</w:t>
      </w:r>
      <w:r w:rsidR="003644CD" w:rsidRPr="007826B5">
        <w:rPr>
          <w:rFonts w:ascii="Arial" w:hAnsi="Arial" w:cs="Arial"/>
          <w:sz w:val="24"/>
          <w:szCs w:val="24"/>
        </w:rPr>
        <w:t>i</w:t>
      </w:r>
      <w:r w:rsidRPr="007826B5">
        <w:rPr>
          <w:rFonts w:ascii="Arial" w:hAnsi="Arial" w:cs="Arial"/>
          <w:sz w:val="24"/>
          <w:szCs w:val="24"/>
        </w:rPr>
        <w:t>nable Development Goals).</w:t>
      </w:r>
    </w:p>
    <w:sectPr w:rsidR="00A93DED" w:rsidRPr="007826B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0EF" w:rsidRDefault="008320EF" w:rsidP="00DA2DDC">
      <w:pPr>
        <w:spacing w:after="0" w:line="240" w:lineRule="auto"/>
      </w:pPr>
      <w:r>
        <w:separator/>
      </w:r>
    </w:p>
  </w:endnote>
  <w:endnote w:type="continuationSeparator" w:id="0">
    <w:p w:rsidR="008320EF" w:rsidRDefault="008320EF" w:rsidP="00DA2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8694441"/>
      <w:docPartObj>
        <w:docPartGallery w:val="Page Numbers (Bottom of Page)"/>
        <w:docPartUnique/>
      </w:docPartObj>
    </w:sdtPr>
    <w:sdtEndPr>
      <w:rPr>
        <w:noProof/>
      </w:rPr>
    </w:sdtEndPr>
    <w:sdtContent>
      <w:p w:rsidR="00D67524" w:rsidRDefault="00D67524">
        <w:pPr>
          <w:pStyle w:val="Footer"/>
          <w:jc w:val="right"/>
        </w:pPr>
        <w:r>
          <w:fldChar w:fldCharType="begin"/>
        </w:r>
        <w:r>
          <w:instrText xml:space="preserve"> PAGE   \* MERGEFORMAT </w:instrText>
        </w:r>
        <w:r>
          <w:fldChar w:fldCharType="separate"/>
        </w:r>
        <w:r w:rsidR="00A32330">
          <w:rPr>
            <w:noProof/>
          </w:rPr>
          <w:t>12</w:t>
        </w:r>
        <w:r>
          <w:rPr>
            <w:noProof/>
          </w:rPr>
          <w:fldChar w:fldCharType="end"/>
        </w:r>
      </w:p>
    </w:sdtContent>
  </w:sdt>
  <w:p w:rsidR="00D67524" w:rsidRDefault="00D67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0EF" w:rsidRDefault="008320EF" w:rsidP="00DA2DDC">
      <w:pPr>
        <w:spacing w:after="0" w:line="240" w:lineRule="auto"/>
      </w:pPr>
      <w:r>
        <w:separator/>
      </w:r>
    </w:p>
  </w:footnote>
  <w:footnote w:type="continuationSeparator" w:id="0">
    <w:p w:rsidR="008320EF" w:rsidRDefault="008320EF" w:rsidP="00DA2DDC">
      <w:pPr>
        <w:spacing w:after="0" w:line="240" w:lineRule="auto"/>
      </w:pPr>
      <w:r>
        <w:continuationSeparator/>
      </w:r>
    </w:p>
  </w:footnote>
  <w:footnote w:id="1">
    <w:p w:rsidR="00D67524" w:rsidRDefault="00D67524" w:rsidP="00E32265">
      <w:pPr>
        <w:pStyle w:val="FootnoteText"/>
        <w:jc w:val="both"/>
      </w:pPr>
      <w:r w:rsidRPr="00683413">
        <w:rPr>
          <w:rStyle w:val="FootnoteReference"/>
          <w:sz w:val="16"/>
          <w:szCs w:val="16"/>
        </w:rPr>
        <w:footnoteRef/>
      </w:r>
      <w:r w:rsidRPr="00683413">
        <w:rPr>
          <w:sz w:val="16"/>
          <w:szCs w:val="16"/>
        </w:rPr>
        <w:t xml:space="preserve"> Statistics Botswana (2018). Botswana Demographic Survey Report 2017</w:t>
      </w:r>
    </w:p>
  </w:footnote>
  <w:footnote w:id="2">
    <w:p w:rsidR="00D67524" w:rsidRPr="006C7A06" w:rsidRDefault="00D67524" w:rsidP="00E32265">
      <w:pPr>
        <w:pStyle w:val="FootnoteText"/>
        <w:jc w:val="both"/>
        <w:rPr>
          <w:sz w:val="16"/>
          <w:szCs w:val="16"/>
        </w:rPr>
      </w:pPr>
      <w:r w:rsidRPr="006C7A06">
        <w:rPr>
          <w:rStyle w:val="FootnoteReference"/>
          <w:sz w:val="16"/>
          <w:szCs w:val="16"/>
        </w:rPr>
        <w:footnoteRef/>
      </w:r>
      <w:r w:rsidRPr="006C7A06">
        <w:rPr>
          <w:sz w:val="16"/>
          <w:szCs w:val="16"/>
        </w:rPr>
        <w:t>MOESD/Department of Basic Education (2013), Guidelines for Standard One Orientation Programme in</w:t>
      </w:r>
    </w:p>
    <w:p w:rsidR="00D67524" w:rsidRDefault="00D67524" w:rsidP="00E32265">
      <w:pPr>
        <w:pStyle w:val="FootnoteText"/>
        <w:jc w:val="both"/>
      </w:pPr>
      <w:r w:rsidRPr="006C7A06">
        <w:rPr>
          <w:sz w:val="16"/>
          <w:szCs w:val="16"/>
        </w:rPr>
        <w:t>Primary Schools Gaborone: MOESD.</w:t>
      </w:r>
      <w:r>
        <w:t xml:space="preserve"> </w:t>
      </w:r>
    </w:p>
  </w:footnote>
  <w:footnote w:id="3">
    <w:p w:rsidR="00D67524" w:rsidRPr="00926564" w:rsidRDefault="00D67524" w:rsidP="00EE4BDD">
      <w:pPr>
        <w:pStyle w:val="FootnoteText"/>
        <w:jc w:val="both"/>
        <w:rPr>
          <w:sz w:val="18"/>
          <w:szCs w:val="18"/>
        </w:rPr>
      </w:pPr>
      <w:r w:rsidRPr="00926564">
        <w:rPr>
          <w:rStyle w:val="FootnoteReference"/>
          <w:sz w:val="18"/>
          <w:szCs w:val="18"/>
        </w:rPr>
        <w:footnoteRef/>
      </w:r>
      <w:r w:rsidRPr="00926564">
        <w:rPr>
          <w:sz w:val="18"/>
          <w:szCs w:val="18"/>
        </w:rPr>
        <w:t xml:space="preserve"> Ministry of Health and Wellness (2012). National Health Policy: Towards a Healthier Botswana.</w:t>
      </w:r>
    </w:p>
  </w:footnote>
  <w:footnote w:id="4">
    <w:p w:rsidR="00D67524" w:rsidRPr="00C44161" w:rsidRDefault="00D67524" w:rsidP="00EE4BDD">
      <w:pPr>
        <w:pStyle w:val="FootnoteText"/>
        <w:jc w:val="both"/>
        <w:rPr>
          <w:sz w:val="18"/>
          <w:szCs w:val="18"/>
        </w:rPr>
      </w:pPr>
      <w:r w:rsidRPr="00C44161">
        <w:rPr>
          <w:rStyle w:val="FootnoteReference"/>
          <w:sz w:val="18"/>
          <w:szCs w:val="18"/>
        </w:rPr>
        <w:footnoteRef/>
      </w:r>
      <w:r w:rsidRPr="00C44161">
        <w:rPr>
          <w:sz w:val="18"/>
          <w:szCs w:val="18"/>
        </w:rPr>
        <w:t xml:space="preserve">https://knoema.com/atlas/Botswana/Neonatal-mortality-rate </w:t>
      </w:r>
    </w:p>
  </w:footnote>
  <w:footnote w:id="5">
    <w:p w:rsidR="00D67524" w:rsidRPr="00C44161" w:rsidRDefault="00D67524" w:rsidP="00EE4BDD">
      <w:pPr>
        <w:pStyle w:val="FootnoteText"/>
        <w:jc w:val="both"/>
        <w:rPr>
          <w:sz w:val="18"/>
          <w:szCs w:val="18"/>
        </w:rPr>
      </w:pPr>
      <w:r w:rsidRPr="00C44161">
        <w:rPr>
          <w:rStyle w:val="FootnoteReference"/>
          <w:sz w:val="18"/>
          <w:szCs w:val="18"/>
        </w:rPr>
        <w:footnoteRef/>
      </w:r>
      <w:r w:rsidRPr="00C44161">
        <w:rPr>
          <w:sz w:val="18"/>
          <w:szCs w:val="18"/>
        </w:rPr>
        <w:t>Neonatal mortality rate – Probability of dying during the first 28 days of life expressed per 1,000 live births</w:t>
      </w:r>
    </w:p>
  </w:footnote>
  <w:footnote w:id="6">
    <w:p w:rsidR="00D67524" w:rsidRPr="00C44161" w:rsidRDefault="00D67524" w:rsidP="00EE4BDD">
      <w:pPr>
        <w:pStyle w:val="FootnoteText"/>
        <w:jc w:val="both"/>
        <w:rPr>
          <w:sz w:val="18"/>
          <w:szCs w:val="18"/>
        </w:rPr>
      </w:pPr>
      <w:r w:rsidRPr="00C44161">
        <w:rPr>
          <w:rStyle w:val="FootnoteReference"/>
          <w:sz w:val="18"/>
          <w:szCs w:val="18"/>
        </w:rPr>
        <w:footnoteRef/>
      </w:r>
      <w:r w:rsidRPr="00C44161">
        <w:rPr>
          <w:sz w:val="18"/>
          <w:szCs w:val="18"/>
        </w:rPr>
        <w:t>Infant mortality rate - Probability of dying between birth and exactly one year of age expressed per 1,000 live births</w:t>
      </w:r>
    </w:p>
  </w:footnote>
  <w:footnote w:id="7">
    <w:p w:rsidR="00D67524" w:rsidRPr="00C44161" w:rsidRDefault="00D67524" w:rsidP="00EE4BDD">
      <w:pPr>
        <w:pStyle w:val="FootnoteText"/>
        <w:jc w:val="both"/>
        <w:rPr>
          <w:sz w:val="18"/>
          <w:szCs w:val="18"/>
        </w:rPr>
      </w:pPr>
      <w:r w:rsidRPr="00C44161">
        <w:rPr>
          <w:rStyle w:val="FootnoteReference"/>
          <w:sz w:val="18"/>
          <w:szCs w:val="18"/>
        </w:rPr>
        <w:footnoteRef/>
      </w:r>
      <w:r w:rsidRPr="00C44161">
        <w:rPr>
          <w:sz w:val="18"/>
          <w:szCs w:val="18"/>
        </w:rPr>
        <w:t xml:space="preserve">Under-five mortality rate - Probability of dying between birth and exactly five years of age expressed per 1,000 live births </w:t>
      </w:r>
    </w:p>
    <w:p w:rsidR="00D67524" w:rsidRDefault="00D67524" w:rsidP="00EE4BDD">
      <w:pPr>
        <w:pStyle w:val="FootnoteText"/>
        <w:jc w:val="both"/>
      </w:pPr>
    </w:p>
    <w:p w:rsidR="00D67524" w:rsidRDefault="00D67524" w:rsidP="00EE4BDD">
      <w:pPr>
        <w:pStyle w:val="FootnoteText"/>
        <w:jc w:val="both"/>
      </w:pPr>
    </w:p>
  </w:footnote>
  <w:footnote w:id="8">
    <w:p w:rsidR="00D67524" w:rsidRPr="00987890" w:rsidRDefault="00D67524" w:rsidP="00EE4BDD">
      <w:pPr>
        <w:pStyle w:val="Footnote"/>
      </w:pPr>
      <w:r w:rsidRPr="00B33968">
        <w:rPr>
          <w:rStyle w:val="FootnoteReference"/>
          <w:rFonts w:ascii="Calibri" w:hAnsi="Calibri"/>
        </w:rPr>
        <w:footnoteRef/>
      </w:r>
      <w:r w:rsidRPr="00B33968">
        <w:t xml:space="preserve"> </w:t>
      </w:r>
      <w:r>
        <w:tab/>
      </w:r>
      <w:r w:rsidRPr="00B33968">
        <w:t>Botswana SPECTRUM data, 2018</w:t>
      </w:r>
    </w:p>
  </w:footnote>
  <w:footnote w:id="9">
    <w:p w:rsidR="00D67524" w:rsidRPr="00D343DF" w:rsidRDefault="00D67524" w:rsidP="00EE4BDD">
      <w:pPr>
        <w:pStyle w:val="Footnote"/>
      </w:pPr>
      <w:r w:rsidRPr="00D343DF">
        <w:rPr>
          <w:rStyle w:val="FootnoteReference"/>
        </w:rPr>
        <w:footnoteRef/>
      </w:r>
      <w:r w:rsidRPr="00D343DF">
        <w:rPr>
          <w:vertAlign w:val="superscript"/>
        </w:rPr>
        <w:t xml:space="preserve"> </w:t>
      </w:r>
      <w:r>
        <w:tab/>
      </w:r>
      <w:r w:rsidRPr="00D343DF">
        <w:t>Botswana SPECTRUM data, 2018</w:t>
      </w:r>
    </w:p>
  </w:footnote>
  <w:footnote w:id="10">
    <w:p w:rsidR="00D67524" w:rsidRPr="00B944B1" w:rsidRDefault="00D67524" w:rsidP="00EE4BDD">
      <w:pPr>
        <w:pStyle w:val="FootnoteText"/>
        <w:jc w:val="both"/>
        <w:rPr>
          <w:lang w:val="en-GB"/>
        </w:rPr>
      </w:pPr>
      <w:r w:rsidRPr="00B944B1">
        <w:rPr>
          <w:lang w:val="en-GB"/>
        </w:rPr>
        <w:footnoteRef/>
      </w:r>
      <w:r w:rsidRPr="00B944B1">
        <w:rPr>
          <w:lang w:val="en-GB"/>
        </w:rPr>
        <w:t xml:space="preserve"> Statistics Botswana (2013). Botswana AIDS Impact Survey IV.</w:t>
      </w:r>
    </w:p>
  </w:footnote>
  <w:footnote w:id="11">
    <w:p w:rsidR="00D67524" w:rsidRPr="00B944B1" w:rsidRDefault="00D67524" w:rsidP="00EE4BDD">
      <w:pPr>
        <w:pStyle w:val="FootnoteText"/>
        <w:jc w:val="both"/>
      </w:pPr>
      <w:r w:rsidRPr="00B944B1">
        <w:rPr>
          <w:rStyle w:val="FootnoteReference"/>
        </w:rPr>
        <w:footnoteRef/>
      </w:r>
      <w:r w:rsidRPr="00B944B1">
        <w:t xml:space="preserve"> </w:t>
      </w:r>
      <w:r w:rsidRPr="00B944B1">
        <w:rPr>
          <w:lang w:val="en-ZA"/>
        </w:rPr>
        <w:t xml:space="preserve">Ministry of Health and Wellness (2017). Incidence patterns model implementation in Botswana. </w:t>
      </w:r>
    </w:p>
  </w:footnote>
  <w:footnote w:id="12">
    <w:p w:rsidR="00D67524" w:rsidRPr="00B944B1" w:rsidRDefault="00D67524" w:rsidP="00EE4BDD">
      <w:pPr>
        <w:pStyle w:val="Footnote"/>
        <w:rPr>
          <w:rFonts w:ascii="Times New Roman" w:hAnsi="Times New Roman"/>
          <w:sz w:val="20"/>
          <w:szCs w:val="20"/>
        </w:rPr>
      </w:pPr>
      <w:r w:rsidRPr="00B944B1">
        <w:rPr>
          <w:rStyle w:val="FootnoteReference"/>
          <w:rFonts w:ascii="Times New Roman" w:hAnsi="Times New Roman"/>
          <w:sz w:val="20"/>
          <w:szCs w:val="20"/>
        </w:rPr>
        <w:footnoteRef/>
      </w:r>
      <w:r w:rsidRPr="00B944B1">
        <w:rPr>
          <w:rFonts w:ascii="Times New Roman" w:hAnsi="Times New Roman"/>
          <w:sz w:val="20"/>
          <w:szCs w:val="20"/>
        </w:rPr>
        <w:t xml:space="preserve"> </w:t>
      </w:r>
      <w:r w:rsidRPr="00B944B1">
        <w:rPr>
          <w:rFonts w:ascii="Times New Roman" w:hAnsi="Times New Roman"/>
          <w:sz w:val="20"/>
          <w:szCs w:val="20"/>
        </w:rPr>
        <w:tab/>
        <w:t>MOHW. (2015). TB programme data.</w:t>
      </w:r>
    </w:p>
  </w:footnote>
  <w:footnote w:id="13">
    <w:p w:rsidR="00D67524" w:rsidRPr="00F61D7D" w:rsidRDefault="00D67524" w:rsidP="00EE4BDD">
      <w:pPr>
        <w:pStyle w:val="Footnote"/>
      </w:pPr>
      <w:r w:rsidRPr="00B944B1">
        <w:rPr>
          <w:rStyle w:val="FootnoteReference"/>
          <w:rFonts w:ascii="Times New Roman" w:hAnsi="Times New Roman"/>
          <w:sz w:val="20"/>
          <w:szCs w:val="20"/>
        </w:rPr>
        <w:footnoteRef/>
      </w:r>
      <w:r w:rsidRPr="00B944B1">
        <w:rPr>
          <w:rFonts w:ascii="Times New Roman" w:hAnsi="Times New Roman"/>
          <w:sz w:val="20"/>
          <w:szCs w:val="20"/>
        </w:rPr>
        <w:t xml:space="preserve"> </w:t>
      </w:r>
      <w:r w:rsidRPr="00B944B1">
        <w:rPr>
          <w:rFonts w:ascii="Times New Roman" w:hAnsi="Times New Roman"/>
          <w:sz w:val="20"/>
          <w:szCs w:val="20"/>
        </w:rPr>
        <w:tab/>
        <w:t>WHO. (2016). Global TB Report. Geneva: WHO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76453"/>
    <w:multiLevelType w:val="multilevel"/>
    <w:tmpl w:val="11E61532"/>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D53500"/>
    <w:multiLevelType w:val="multilevel"/>
    <w:tmpl w:val="FDCE86D0"/>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6C1EC5"/>
    <w:multiLevelType w:val="multilevel"/>
    <w:tmpl w:val="227AE6F8"/>
    <w:lvl w:ilvl="0">
      <w:start w:val="3"/>
      <w:numFmt w:val="decimal"/>
      <w:lvlText w:val="%1"/>
      <w:lvlJc w:val="left"/>
      <w:pPr>
        <w:ind w:left="525" w:hanging="525"/>
      </w:pPr>
      <w:rPr>
        <w:rFonts w:hint="default"/>
      </w:rPr>
    </w:lvl>
    <w:lvl w:ilvl="1">
      <w:start w:val="3"/>
      <w:numFmt w:val="decimal"/>
      <w:lvlText w:val="%1.%2"/>
      <w:lvlJc w:val="left"/>
      <w:pPr>
        <w:ind w:left="705" w:hanging="52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315F50AC"/>
    <w:multiLevelType w:val="multilevel"/>
    <w:tmpl w:val="57688800"/>
    <w:lvl w:ilvl="0">
      <w:start w:val="3"/>
      <w:numFmt w:val="decimal"/>
      <w:lvlText w:val="%1"/>
      <w:lvlJc w:val="left"/>
      <w:pPr>
        <w:ind w:left="435" w:hanging="435"/>
      </w:pPr>
      <w:rPr>
        <w:rFonts w:asciiTheme="minorHAnsi" w:eastAsiaTheme="minorHAnsi" w:hAnsiTheme="minorHAnsi" w:cstheme="minorBidi" w:hint="default"/>
        <w:sz w:val="22"/>
      </w:rPr>
    </w:lvl>
    <w:lvl w:ilvl="1">
      <w:start w:val="1"/>
      <w:numFmt w:val="decimal"/>
      <w:lvlText w:val="%1.%2"/>
      <w:lvlJc w:val="left"/>
      <w:pPr>
        <w:ind w:left="435" w:hanging="435"/>
      </w:pPr>
      <w:rPr>
        <w:rFonts w:asciiTheme="minorHAnsi" w:eastAsiaTheme="minorHAnsi" w:hAnsiTheme="minorHAnsi" w:cstheme="minorBidi" w:hint="default"/>
        <w:sz w:val="22"/>
      </w:rPr>
    </w:lvl>
    <w:lvl w:ilvl="2">
      <w:start w:val="1"/>
      <w:numFmt w:val="decimal"/>
      <w:lvlText w:val="%1.%2.%3"/>
      <w:lvlJc w:val="left"/>
      <w:pPr>
        <w:ind w:left="720" w:hanging="720"/>
      </w:pPr>
      <w:rPr>
        <w:rFonts w:asciiTheme="minorHAnsi" w:eastAsiaTheme="minorHAnsi" w:hAnsiTheme="minorHAnsi" w:cstheme="minorBidi" w:hint="default"/>
        <w:sz w:val="22"/>
      </w:rPr>
    </w:lvl>
    <w:lvl w:ilvl="3">
      <w:start w:val="1"/>
      <w:numFmt w:val="decimal"/>
      <w:lvlText w:val="%1.%2.%3.%4"/>
      <w:lvlJc w:val="left"/>
      <w:pPr>
        <w:ind w:left="720" w:hanging="720"/>
      </w:pPr>
      <w:rPr>
        <w:rFonts w:asciiTheme="minorHAnsi" w:eastAsiaTheme="minorHAnsi" w:hAnsiTheme="minorHAnsi" w:cstheme="minorBidi" w:hint="default"/>
        <w:sz w:val="22"/>
      </w:rPr>
    </w:lvl>
    <w:lvl w:ilvl="4">
      <w:start w:val="1"/>
      <w:numFmt w:val="decimal"/>
      <w:lvlText w:val="%1.%2.%3.%4.%5"/>
      <w:lvlJc w:val="left"/>
      <w:pPr>
        <w:ind w:left="1080" w:hanging="1080"/>
      </w:pPr>
      <w:rPr>
        <w:rFonts w:asciiTheme="minorHAnsi" w:eastAsiaTheme="minorHAnsi" w:hAnsiTheme="minorHAnsi" w:cstheme="minorBidi" w:hint="default"/>
        <w:sz w:val="22"/>
      </w:rPr>
    </w:lvl>
    <w:lvl w:ilvl="5">
      <w:start w:val="1"/>
      <w:numFmt w:val="decimal"/>
      <w:lvlText w:val="%1.%2.%3.%4.%5.%6"/>
      <w:lvlJc w:val="left"/>
      <w:pPr>
        <w:ind w:left="1080" w:hanging="1080"/>
      </w:pPr>
      <w:rPr>
        <w:rFonts w:asciiTheme="minorHAnsi" w:eastAsiaTheme="minorHAnsi" w:hAnsiTheme="minorHAnsi" w:cstheme="minorBidi" w:hint="default"/>
        <w:sz w:val="22"/>
      </w:rPr>
    </w:lvl>
    <w:lvl w:ilvl="6">
      <w:start w:val="1"/>
      <w:numFmt w:val="decimal"/>
      <w:lvlText w:val="%1.%2.%3.%4.%5.%6.%7"/>
      <w:lvlJc w:val="left"/>
      <w:pPr>
        <w:ind w:left="1440" w:hanging="1440"/>
      </w:pPr>
      <w:rPr>
        <w:rFonts w:asciiTheme="minorHAnsi" w:eastAsiaTheme="minorHAnsi" w:hAnsiTheme="minorHAnsi" w:cstheme="minorBidi" w:hint="default"/>
        <w:sz w:val="22"/>
      </w:rPr>
    </w:lvl>
    <w:lvl w:ilvl="7">
      <w:start w:val="1"/>
      <w:numFmt w:val="decimal"/>
      <w:lvlText w:val="%1.%2.%3.%4.%5.%6.%7.%8"/>
      <w:lvlJc w:val="left"/>
      <w:pPr>
        <w:ind w:left="1440" w:hanging="1440"/>
      </w:pPr>
      <w:rPr>
        <w:rFonts w:asciiTheme="minorHAnsi" w:eastAsiaTheme="minorHAnsi" w:hAnsiTheme="minorHAnsi" w:cstheme="minorBidi" w:hint="default"/>
        <w:sz w:val="22"/>
      </w:rPr>
    </w:lvl>
    <w:lvl w:ilvl="8">
      <w:start w:val="1"/>
      <w:numFmt w:val="decimal"/>
      <w:lvlText w:val="%1.%2.%3.%4.%5.%6.%7.%8.%9"/>
      <w:lvlJc w:val="left"/>
      <w:pPr>
        <w:ind w:left="1800" w:hanging="1800"/>
      </w:pPr>
      <w:rPr>
        <w:rFonts w:asciiTheme="minorHAnsi" w:eastAsiaTheme="minorHAnsi" w:hAnsiTheme="minorHAnsi" w:cstheme="minorBidi" w:hint="default"/>
        <w:sz w:val="22"/>
      </w:rPr>
    </w:lvl>
  </w:abstractNum>
  <w:abstractNum w:abstractNumId="4" w15:restartNumberingAfterBreak="0">
    <w:nsid w:val="43C64FE5"/>
    <w:multiLevelType w:val="hybridMultilevel"/>
    <w:tmpl w:val="CF14C1C2"/>
    <w:lvl w:ilvl="0" w:tplc="C2F4B79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690001"/>
    <w:multiLevelType w:val="hybridMultilevel"/>
    <w:tmpl w:val="F7144E10"/>
    <w:lvl w:ilvl="0" w:tplc="1C704B0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76374F"/>
    <w:multiLevelType w:val="hybridMultilevel"/>
    <w:tmpl w:val="55D8A734"/>
    <w:lvl w:ilvl="0" w:tplc="C54C66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4A65A4"/>
    <w:multiLevelType w:val="hybridMultilevel"/>
    <w:tmpl w:val="80DAA0FE"/>
    <w:lvl w:ilvl="0" w:tplc="BB9C04C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2C3163"/>
    <w:multiLevelType w:val="hybridMultilevel"/>
    <w:tmpl w:val="55D8A734"/>
    <w:lvl w:ilvl="0" w:tplc="C54C66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F62314"/>
    <w:multiLevelType w:val="multilevel"/>
    <w:tmpl w:val="CC021716"/>
    <w:lvl w:ilvl="0">
      <w:start w:val="3"/>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5F75BC0"/>
    <w:multiLevelType w:val="hybridMultilevel"/>
    <w:tmpl w:val="1CD2EE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A5F6DF4"/>
    <w:multiLevelType w:val="hybridMultilevel"/>
    <w:tmpl w:val="B84476EA"/>
    <w:lvl w:ilvl="0" w:tplc="560EF00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E41C40"/>
    <w:multiLevelType w:val="hybridMultilevel"/>
    <w:tmpl w:val="7FB48E7E"/>
    <w:lvl w:ilvl="0" w:tplc="0700017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EC48F3"/>
    <w:multiLevelType w:val="multilevel"/>
    <w:tmpl w:val="CAA229D2"/>
    <w:lvl w:ilvl="0">
      <w:start w:val="3"/>
      <w:numFmt w:val="decimal"/>
      <w:lvlText w:val="%1"/>
      <w:lvlJc w:val="left"/>
      <w:pPr>
        <w:ind w:left="525" w:hanging="525"/>
      </w:pPr>
      <w:rPr>
        <w:rFonts w:hint="default"/>
        <w:b/>
      </w:rPr>
    </w:lvl>
    <w:lvl w:ilvl="1">
      <w:start w:val="1"/>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7E6F4A18"/>
    <w:multiLevelType w:val="hybridMultilevel"/>
    <w:tmpl w:val="94A27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8"/>
  </w:num>
  <w:num w:numId="4">
    <w:abstractNumId w:val="0"/>
  </w:num>
  <w:num w:numId="5">
    <w:abstractNumId w:val="2"/>
  </w:num>
  <w:num w:numId="6">
    <w:abstractNumId w:val="7"/>
  </w:num>
  <w:num w:numId="7">
    <w:abstractNumId w:val="14"/>
  </w:num>
  <w:num w:numId="8">
    <w:abstractNumId w:val="1"/>
  </w:num>
  <w:num w:numId="9">
    <w:abstractNumId w:val="9"/>
  </w:num>
  <w:num w:numId="10">
    <w:abstractNumId w:val="11"/>
  </w:num>
  <w:num w:numId="11">
    <w:abstractNumId w:val="3"/>
  </w:num>
  <w:num w:numId="12">
    <w:abstractNumId w:val="13"/>
  </w:num>
  <w:num w:numId="13">
    <w:abstractNumId w:val="4"/>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A10"/>
    <w:rsid w:val="0000033D"/>
    <w:rsid w:val="00035363"/>
    <w:rsid w:val="00041397"/>
    <w:rsid w:val="00044177"/>
    <w:rsid w:val="0004670B"/>
    <w:rsid w:val="000476B1"/>
    <w:rsid w:val="000706EB"/>
    <w:rsid w:val="00084B6F"/>
    <w:rsid w:val="00092324"/>
    <w:rsid w:val="00095A8F"/>
    <w:rsid w:val="00097523"/>
    <w:rsid w:val="000C6463"/>
    <w:rsid w:val="000D0E5A"/>
    <w:rsid w:val="000E1FD9"/>
    <w:rsid w:val="000E218C"/>
    <w:rsid w:val="000E7007"/>
    <w:rsid w:val="000F0F61"/>
    <w:rsid w:val="000F28B1"/>
    <w:rsid w:val="000F5E72"/>
    <w:rsid w:val="00117185"/>
    <w:rsid w:val="00126F88"/>
    <w:rsid w:val="00133510"/>
    <w:rsid w:val="00140A70"/>
    <w:rsid w:val="00151F4E"/>
    <w:rsid w:val="001561E8"/>
    <w:rsid w:val="00161A89"/>
    <w:rsid w:val="001864F3"/>
    <w:rsid w:val="001976F6"/>
    <w:rsid w:val="001A2FC7"/>
    <w:rsid w:val="001B5D97"/>
    <w:rsid w:val="001D33F0"/>
    <w:rsid w:val="001E02D0"/>
    <w:rsid w:val="001E310F"/>
    <w:rsid w:val="001F0854"/>
    <w:rsid w:val="00225374"/>
    <w:rsid w:val="00227A30"/>
    <w:rsid w:val="00233D5D"/>
    <w:rsid w:val="00235DF9"/>
    <w:rsid w:val="00253EA3"/>
    <w:rsid w:val="0029509E"/>
    <w:rsid w:val="00295F9C"/>
    <w:rsid w:val="002C4156"/>
    <w:rsid w:val="002F0359"/>
    <w:rsid w:val="002F30A1"/>
    <w:rsid w:val="00315943"/>
    <w:rsid w:val="0033704F"/>
    <w:rsid w:val="0034221D"/>
    <w:rsid w:val="0035129E"/>
    <w:rsid w:val="00360B04"/>
    <w:rsid w:val="003644CD"/>
    <w:rsid w:val="003678CB"/>
    <w:rsid w:val="00370866"/>
    <w:rsid w:val="0039605D"/>
    <w:rsid w:val="003B2720"/>
    <w:rsid w:val="003C6F3F"/>
    <w:rsid w:val="00446C7B"/>
    <w:rsid w:val="0047113B"/>
    <w:rsid w:val="004A13DC"/>
    <w:rsid w:val="004C2DBA"/>
    <w:rsid w:val="004D32A2"/>
    <w:rsid w:val="004E69A4"/>
    <w:rsid w:val="004F5A58"/>
    <w:rsid w:val="004F6442"/>
    <w:rsid w:val="00505132"/>
    <w:rsid w:val="0052067B"/>
    <w:rsid w:val="00523AEA"/>
    <w:rsid w:val="00524D52"/>
    <w:rsid w:val="00534371"/>
    <w:rsid w:val="00536276"/>
    <w:rsid w:val="00550361"/>
    <w:rsid w:val="00561E29"/>
    <w:rsid w:val="005764BF"/>
    <w:rsid w:val="005836C2"/>
    <w:rsid w:val="00584C15"/>
    <w:rsid w:val="005D2435"/>
    <w:rsid w:val="005E4DA1"/>
    <w:rsid w:val="0060407A"/>
    <w:rsid w:val="00605F91"/>
    <w:rsid w:val="00627F10"/>
    <w:rsid w:val="00680C6C"/>
    <w:rsid w:val="006A4EE9"/>
    <w:rsid w:val="006B11EB"/>
    <w:rsid w:val="006B3158"/>
    <w:rsid w:val="006F5502"/>
    <w:rsid w:val="00714845"/>
    <w:rsid w:val="007255F5"/>
    <w:rsid w:val="0073018D"/>
    <w:rsid w:val="007314A2"/>
    <w:rsid w:val="00734B2C"/>
    <w:rsid w:val="00737744"/>
    <w:rsid w:val="007418DB"/>
    <w:rsid w:val="0074738F"/>
    <w:rsid w:val="0075531D"/>
    <w:rsid w:val="0078208B"/>
    <w:rsid w:val="007826B5"/>
    <w:rsid w:val="00791DBC"/>
    <w:rsid w:val="00795380"/>
    <w:rsid w:val="007A199D"/>
    <w:rsid w:val="007B0586"/>
    <w:rsid w:val="007B11AC"/>
    <w:rsid w:val="007C4503"/>
    <w:rsid w:val="007C5A8A"/>
    <w:rsid w:val="00804D4C"/>
    <w:rsid w:val="008320EF"/>
    <w:rsid w:val="008512E8"/>
    <w:rsid w:val="008568FD"/>
    <w:rsid w:val="008625B5"/>
    <w:rsid w:val="00863D92"/>
    <w:rsid w:val="00874B59"/>
    <w:rsid w:val="00883B50"/>
    <w:rsid w:val="00885A10"/>
    <w:rsid w:val="00887F78"/>
    <w:rsid w:val="009147D8"/>
    <w:rsid w:val="00932F36"/>
    <w:rsid w:val="00933AC5"/>
    <w:rsid w:val="009516D7"/>
    <w:rsid w:val="00972500"/>
    <w:rsid w:val="00991C48"/>
    <w:rsid w:val="009A59D1"/>
    <w:rsid w:val="009B00C1"/>
    <w:rsid w:val="009B14BA"/>
    <w:rsid w:val="00A0634C"/>
    <w:rsid w:val="00A06AC1"/>
    <w:rsid w:val="00A100AB"/>
    <w:rsid w:val="00A32330"/>
    <w:rsid w:val="00A77479"/>
    <w:rsid w:val="00A93DED"/>
    <w:rsid w:val="00A95C89"/>
    <w:rsid w:val="00A95F03"/>
    <w:rsid w:val="00AF563F"/>
    <w:rsid w:val="00B02E09"/>
    <w:rsid w:val="00B120BF"/>
    <w:rsid w:val="00B24C1D"/>
    <w:rsid w:val="00B2709F"/>
    <w:rsid w:val="00B404AC"/>
    <w:rsid w:val="00B422AC"/>
    <w:rsid w:val="00B4561D"/>
    <w:rsid w:val="00B717F6"/>
    <w:rsid w:val="00B87015"/>
    <w:rsid w:val="00BA1711"/>
    <w:rsid w:val="00BB4442"/>
    <w:rsid w:val="00BB7351"/>
    <w:rsid w:val="00BC18AC"/>
    <w:rsid w:val="00BF2A8E"/>
    <w:rsid w:val="00BF4CAB"/>
    <w:rsid w:val="00BF6A06"/>
    <w:rsid w:val="00C009F3"/>
    <w:rsid w:val="00C12684"/>
    <w:rsid w:val="00C1666D"/>
    <w:rsid w:val="00C65719"/>
    <w:rsid w:val="00C73E1E"/>
    <w:rsid w:val="00C9501E"/>
    <w:rsid w:val="00CA1DAC"/>
    <w:rsid w:val="00CA4129"/>
    <w:rsid w:val="00CA7A46"/>
    <w:rsid w:val="00CB7B2E"/>
    <w:rsid w:val="00CC15BF"/>
    <w:rsid w:val="00CC4CF5"/>
    <w:rsid w:val="00CD17AB"/>
    <w:rsid w:val="00CD6E94"/>
    <w:rsid w:val="00D07143"/>
    <w:rsid w:val="00D27944"/>
    <w:rsid w:val="00D46702"/>
    <w:rsid w:val="00D52A5A"/>
    <w:rsid w:val="00D55A5F"/>
    <w:rsid w:val="00D627D2"/>
    <w:rsid w:val="00D67524"/>
    <w:rsid w:val="00D703D2"/>
    <w:rsid w:val="00D95780"/>
    <w:rsid w:val="00DA2DDC"/>
    <w:rsid w:val="00DD6C96"/>
    <w:rsid w:val="00DE0A28"/>
    <w:rsid w:val="00DE50CC"/>
    <w:rsid w:val="00DF2466"/>
    <w:rsid w:val="00DF45B7"/>
    <w:rsid w:val="00E04B43"/>
    <w:rsid w:val="00E05389"/>
    <w:rsid w:val="00E0717C"/>
    <w:rsid w:val="00E22D96"/>
    <w:rsid w:val="00E2698D"/>
    <w:rsid w:val="00E27C36"/>
    <w:rsid w:val="00E32265"/>
    <w:rsid w:val="00E46AEC"/>
    <w:rsid w:val="00E532F4"/>
    <w:rsid w:val="00E55A14"/>
    <w:rsid w:val="00E6780D"/>
    <w:rsid w:val="00E82706"/>
    <w:rsid w:val="00E859B7"/>
    <w:rsid w:val="00EB1BFF"/>
    <w:rsid w:val="00EB4609"/>
    <w:rsid w:val="00EC65C0"/>
    <w:rsid w:val="00ED1912"/>
    <w:rsid w:val="00ED68A0"/>
    <w:rsid w:val="00EE2F17"/>
    <w:rsid w:val="00EE4BDD"/>
    <w:rsid w:val="00EF25C5"/>
    <w:rsid w:val="00F01B14"/>
    <w:rsid w:val="00F43B87"/>
    <w:rsid w:val="00F80096"/>
    <w:rsid w:val="00F87338"/>
    <w:rsid w:val="00FC1E02"/>
    <w:rsid w:val="00FD540F"/>
    <w:rsid w:val="00FD6C20"/>
    <w:rsid w:val="00FE7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E4C9C5-1713-4EBD-A743-F8ACAB8E8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6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335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01B1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3774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D5D"/>
    <w:rPr>
      <w:rFonts w:ascii="Tahoma" w:hAnsi="Tahoma" w:cs="Tahoma"/>
      <w:sz w:val="16"/>
      <w:szCs w:val="16"/>
    </w:rPr>
  </w:style>
  <w:style w:type="table" w:styleId="GridTable5Dark-Accent1">
    <w:name w:val="Grid Table 5 Dark Accent 1"/>
    <w:basedOn w:val="TableNormal"/>
    <w:uiPriority w:val="50"/>
    <w:rsid w:val="00FC1E0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FootnoteText">
    <w:name w:val="footnote text"/>
    <w:basedOn w:val="Normal"/>
    <w:link w:val="FootnoteTextChar"/>
    <w:uiPriority w:val="99"/>
    <w:rsid w:val="00DA2DD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A2DDC"/>
    <w:rPr>
      <w:rFonts w:ascii="Times New Roman" w:eastAsia="Times New Roman" w:hAnsi="Times New Roman" w:cs="Times New Roman"/>
      <w:sz w:val="20"/>
      <w:szCs w:val="20"/>
    </w:rPr>
  </w:style>
  <w:style w:type="character" w:styleId="FootnoteReference">
    <w:name w:val="footnote reference"/>
    <w:rsid w:val="00DA2DDC"/>
    <w:rPr>
      <w:rFonts w:cs="Times New Roman"/>
      <w:vertAlign w:val="superscript"/>
    </w:rPr>
  </w:style>
  <w:style w:type="paragraph" w:styleId="Header">
    <w:name w:val="header"/>
    <w:basedOn w:val="Normal"/>
    <w:link w:val="HeaderChar"/>
    <w:uiPriority w:val="99"/>
    <w:unhideWhenUsed/>
    <w:rsid w:val="00933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AC5"/>
  </w:style>
  <w:style w:type="paragraph" w:styleId="Footer">
    <w:name w:val="footer"/>
    <w:basedOn w:val="Normal"/>
    <w:link w:val="FooterChar"/>
    <w:uiPriority w:val="99"/>
    <w:unhideWhenUsed/>
    <w:rsid w:val="00933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AC5"/>
  </w:style>
  <w:style w:type="paragraph" w:styleId="NoSpacing">
    <w:name w:val="No Spacing"/>
    <w:uiPriority w:val="1"/>
    <w:qFormat/>
    <w:rsid w:val="000476B1"/>
    <w:pPr>
      <w:spacing w:after="0" w:line="240" w:lineRule="auto"/>
    </w:pPr>
  </w:style>
  <w:style w:type="character" w:customStyle="1" w:styleId="Heading1Char">
    <w:name w:val="Heading 1 Char"/>
    <w:basedOn w:val="DefaultParagraphFont"/>
    <w:link w:val="Heading1"/>
    <w:uiPriority w:val="9"/>
    <w:rsid w:val="000476B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33510"/>
    <w:rPr>
      <w:rFonts w:asciiTheme="majorHAnsi" w:eastAsiaTheme="majorEastAsia" w:hAnsiTheme="majorHAnsi" w:cstheme="majorBidi"/>
      <w:color w:val="365F91" w:themeColor="accent1" w:themeShade="BF"/>
      <w:sz w:val="26"/>
      <w:szCs w:val="26"/>
    </w:rPr>
  </w:style>
  <w:style w:type="paragraph" w:customStyle="1" w:styleId="Footnote">
    <w:name w:val="Footnote"/>
    <w:basedOn w:val="Normal"/>
    <w:link w:val="FootnoteChar"/>
    <w:qFormat/>
    <w:rsid w:val="00EE4BDD"/>
    <w:pPr>
      <w:tabs>
        <w:tab w:val="left" w:pos="284"/>
      </w:tabs>
      <w:spacing w:after="0" w:line="240" w:lineRule="auto"/>
      <w:ind w:left="284" w:hanging="284"/>
      <w:jc w:val="both"/>
    </w:pPr>
    <w:rPr>
      <w:rFonts w:eastAsia="Calibri" w:cs="Times New Roman"/>
      <w:sz w:val="16"/>
      <w:szCs w:val="24"/>
      <w:lang w:val="en-GB"/>
    </w:rPr>
  </w:style>
  <w:style w:type="character" w:customStyle="1" w:styleId="FootnoteChar">
    <w:name w:val="Footnote Char"/>
    <w:basedOn w:val="DefaultParagraphFont"/>
    <w:link w:val="Footnote"/>
    <w:rsid w:val="00EE4BDD"/>
    <w:rPr>
      <w:rFonts w:eastAsia="Calibri" w:cs="Times New Roman"/>
      <w:sz w:val="16"/>
      <w:szCs w:val="24"/>
      <w:lang w:val="en-GB"/>
    </w:rPr>
  </w:style>
  <w:style w:type="paragraph" w:styleId="ListParagraph">
    <w:name w:val="List Paragraph"/>
    <w:basedOn w:val="Normal"/>
    <w:uiPriority w:val="34"/>
    <w:qFormat/>
    <w:rsid w:val="00F01B14"/>
    <w:pPr>
      <w:ind w:left="720"/>
      <w:contextualSpacing/>
    </w:pPr>
  </w:style>
  <w:style w:type="character" w:customStyle="1" w:styleId="Heading3Char">
    <w:name w:val="Heading 3 Char"/>
    <w:basedOn w:val="DefaultParagraphFont"/>
    <w:link w:val="Heading3"/>
    <w:uiPriority w:val="9"/>
    <w:rsid w:val="00F01B14"/>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7377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744"/>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737744"/>
    <w:rPr>
      <w:rFonts w:asciiTheme="majorHAnsi" w:eastAsiaTheme="majorEastAsia" w:hAnsiTheme="majorHAnsi" w:cstheme="majorBidi"/>
      <w:i/>
      <w:iCs/>
      <w:color w:val="365F91" w:themeColor="accent1" w:themeShade="BF"/>
    </w:rPr>
  </w:style>
  <w:style w:type="paragraph" w:styleId="Subtitle">
    <w:name w:val="Subtitle"/>
    <w:basedOn w:val="Normal"/>
    <w:next w:val="Normal"/>
    <w:link w:val="SubtitleChar"/>
    <w:uiPriority w:val="11"/>
    <w:qFormat/>
    <w:rsid w:val="0073774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37744"/>
    <w:rPr>
      <w:rFonts w:eastAsiaTheme="minorEastAsia"/>
      <w:color w:val="5A5A5A" w:themeColor="text1" w:themeTint="A5"/>
      <w:spacing w:val="15"/>
    </w:rPr>
  </w:style>
  <w:style w:type="table" w:customStyle="1" w:styleId="PlainTable411">
    <w:name w:val="Plain Table 411"/>
    <w:basedOn w:val="TableNormal"/>
    <w:next w:val="PlainTable4"/>
    <w:uiPriority w:val="44"/>
    <w:rsid w:val="00E32265"/>
    <w:pPr>
      <w:spacing w:after="0" w:line="240" w:lineRule="auto"/>
    </w:pPr>
    <w:rPr>
      <w:rFonts w:ascii="Calibri" w:eastAsia="Calibri" w:hAnsi="Calibri"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4">
    <w:name w:val="Plain Table 4"/>
    <w:basedOn w:val="TableNormal"/>
    <w:uiPriority w:val="44"/>
    <w:rsid w:val="00E3226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Continental%20Development%20Alliance\cda\Botswana\Epi%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Sheet1!$G$33</c:f>
              <c:strCache>
                <c:ptCount val="1"/>
                <c:pt idx="0">
                  <c:v>&lt;5 MR</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Sheet1!$F$34:$F$41</c:f>
              <c:strCache>
                <c:ptCount val="8"/>
                <c:pt idx="0">
                  <c:v>C1971</c:v>
                </c:pt>
                <c:pt idx="1">
                  <c:v>C1981</c:v>
                </c:pt>
                <c:pt idx="2">
                  <c:v>C1991</c:v>
                </c:pt>
                <c:pt idx="3">
                  <c:v>BDS1998</c:v>
                </c:pt>
                <c:pt idx="4">
                  <c:v>C2001</c:v>
                </c:pt>
                <c:pt idx="5">
                  <c:v>BDS2006</c:v>
                </c:pt>
                <c:pt idx="6">
                  <c:v>C2011</c:v>
                </c:pt>
                <c:pt idx="7">
                  <c:v>BDS2017</c:v>
                </c:pt>
              </c:strCache>
            </c:strRef>
          </c:cat>
          <c:val>
            <c:numRef>
              <c:f>Sheet1!$G$34:$G$41</c:f>
              <c:numCache>
                <c:formatCode>General</c:formatCode>
                <c:ptCount val="8"/>
                <c:pt idx="0">
                  <c:v>152</c:v>
                </c:pt>
                <c:pt idx="1">
                  <c:v>105</c:v>
                </c:pt>
                <c:pt idx="2">
                  <c:v>63</c:v>
                </c:pt>
                <c:pt idx="3">
                  <c:v>67</c:v>
                </c:pt>
                <c:pt idx="4">
                  <c:v>74</c:v>
                </c:pt>
                <c:pt idx="5">
                  <c:v>76</c:v>
                </c:pt>
                <c:pt idx="6">
                  <c:v>28</c:v>
                </c:pt>
                <c:pt idx="7">
                  <c:v>48</c:v>
                </c:pt>
              </c:numCache>
            </c:numRef>
          </c:val>
          <c:smooth val="0"/>
          <c:extLst>
            <c:ext xmlns:c16="http://schemas.microsoft.com/office/drawing/2014/chart" uri="{C3380CC4-5D6E-409C-BE32-E72D297353CC}">
              <c16:uniqueId val="{00000000-E778-496A-83CA-2E02FAE6543F}"/>
            </c:ext>
          </c:extLst>
        </c:ser>
        <c:ser>
          <c:idx val="1"/>
          <c:order val="1"/>
          <c:tx>
            <c:strRef>
              <c:f>Sheet1!$H$33</c:f>
              <c:strCache>
                <c:ptCount val="1"/>
                <c:pt idx="0">
                  <c:v>Infant MR</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Sheet1!$F$34:$F$41</c:f>
              <c:strCache>
                <c:ptCount val="8"/>
                <c:pt idx="0">
                  <c:v>C1971</c:v>
                </c:pt>
                <c:pt idx="1">
                  <c:v>C1981</c:v>
                </c:pt>
                <c:pt idx="2">
                  <c:v>C1991</c:v>
                </c:pt>
                <c:pt idx="3">
                  <c:v>BDS1998</c:v>
                </c:pt>
                <c:pt idx="4">
                  <c:v>C2001</c:v>
                </c:pt>
                <c:pt idx="5">
                  <c:v>BDS2006</c:v>
                </c:pt>
                <c:pt idx="6">
                  <c:v>C2011</c:v>
                </c:pt>
                <c:pt idx="7">
                  <c:v>BDS2017</c:v>
                </c:pt>
              </c:strCache>
            </c:strRef>
          </c:cat>
          <c:val>
            <c:numRef>
              <c:f>Sheet1!$H$34:$H$41</c:f>
              <c:numCache>
                <c:formatCode>General</c:formatCode>
                <c:ptCount val="8"/>
                <c:pt idx="0">
                  <c:v>97</c:v>
                </c:pt>
                <c:pt idx="1">
                  <c:v>71</c:v>
                </c:pt>
                <c:pt idx="2">
                  <c:v>48</c:v>
                </c:pt>
                <c:pt idx="3">
                  <c:v>51</c:v>
                </c:pt>
                <c:pt idx="4">
                  <c:v>56</c:v>
                </c:pt>
                <c:pt idx="5">
                  <c:v>48</c:v>
                </c:pt>
                <c:pt idx="6">
                  <c:v>17</c:v>
                </c:pt>
                <c:pt idx="7">
                  <c:v>38</c:v>
                </c:pt>
              </c:numCache>
            </c:numRef>
          </c:val>
          <c:smooth val="0"/>
          <c:extLst>
            <c:ext xmlns:c16="http://schemas.microsoft.com/office/drawing/2014/chart" uri="{C3380CC4-5D6E-409C-BE32-E72D297353CC}">
              <c16:uniqueId val="{00000001-E778-496A-83CA-2E02FAE6543F}"/>
            </c:ext>
          </c:extLst>
        </c:ser>
        <c:dLbls>
          <c:dLblPos val="t"/>
          <c:showLegendKey val="0"/>
          <c:showVal val="1"/>
          <c:showCatName val="0"/>
          <c:showSerName val="0"/>
          <c:showPercent val="0"/>
          <c:showBubbleSize val="0"/>
        </c:dLbls>
        <c:smooth val="0"/>
        <c:axId val="461103648"/>
        <c:axId val="461102472"/>
      </c:lineChart>
      <c:catAx>
        <c:axId val="4611036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1102472"/>
        <c:crosses val="autoZero"/>
        <c:auto val="1"/>
        <c:lblAlgn val="ctr"/>
        <c:lblOffset val="100"/>
        <c:noMultiLvlLbl val="0"/>
      </c:catAx>
      <c:valAx>
        <c:axId val="4611024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a:t>
                </a:r>
                <a:r>
                  <a:rPr lang="en-US" baseline="0"/>
                  <a:t> 1000</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1103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1"/>
          <c:tx>
            <c:strRef>
              <c:f>Sheet1!$C$171</c:f>
              <c:strCache>
                <c:ptCount val="1"/>
                <c:pt idx="0">
                  <c:v>Male</c:v>
                </c:pt>
              </c:strCache>
            </c:strRef>
          </c:tx>
          <c:spPr>
            <a:solidFill>
              <a:schemeClr val="accent2"/>
            </a:solidFill>
            <a:ln>
              <a:noFill/>
            </a:ln>
            <a:effectLst/>
          </c:spPr>
          <c:invertIfNegative val="0"/>
          <c:cat>
            <c:strRef>
              <c:f>Sheet1!$A$172:$A$182</c:f>
              <c:strCache>
                <c:ptCount val="11"/>
                <c:pt idx="0">
                  <c:v>0-14</c:v>
                </c:pt>
                <c:pt idx="1">
                  <c:v>15-19</c:v>
                </c:pt>
                <c:pt idx="2">
                  <c:v>20-24</c:v>
                </c:pt>
                <c:pt idx="3">
                  <c:v>25-29</c:v>
                </c:pt>
                <c:pt idx="4">
                  <c:v>30-34</c:v>
                </c:pt>
                <c:pt idx="5">
                  <c:v>35-39</c:v>
                </c:pt>
                <c:pt idx="6">
                  <c:v>40-44</c:v>
                </c:pt>
                <c:pt idx="7">
                  <c:v>45-49</c:v>
                </c:pt>
                <c:pt idx="8">
                  <c:v>50-54</c:v>
                </c:pt>
                <c:pt idx="9">
                  <c:v>55-59</c:v>
                </c:pt>
                <c:pt idx="10">
                  <c:v>60-64</c:v>
                </c:pt>
              </c:strCache>
            </c:strRef>
          </c:cat>
          <c:val>
            <c:numRef>
              <c:f>Sheet1!$C$172:$C$182</c:f>
              <c:numCache>
                <c:formatCode>General</c:formatCode>
                <c:ptCount val="11"/>
                <c:pt idx="0">
                  <c:v>308</c:v>
                </c:pt>
                <c:pt idx="1">
                  <c:v>408</c:v>
                </c:pt>
                <c:pt idx="2" formatCode="#,##0">
                  <c:v>1037</c:v>
                </c:pt>
                <c:pt idx="3" formatCode="#,##0">
                  <c:v>1313</c:v>
                </c:pt>
                <c:pt idx="4" formatCode="#,##0">
                  <c:v>1199</c:v>
                </c:pt>
                <c:pt idx="5">
                  <c:v>850</c:v>
                </c:pt>
                <c:pt idx="6">
                  <c:v>488</c:v>
                </c:pt>
                <c:pt idx="7">
                  <c:v>270</c:v>
                </c:pt>
                <c:pt idx="8">
                  <c:v>174</c:v>
                </c:pt>
                <c:pt idx="9">
                  <c:v>115</c:v>
                </c:pt>
                <c:pt idx="10">
                  <c:v>78</c:v>
                </c:pt>
              </c:numCache>
            </c:numRef>
          </c:val>
          <c:extLst>
            <c:ext xmlns:c16="http://schemas.microsoft.com/office/drawing/2014/chart" uri="{C3380CC4-5D6E-409C-BE32-E72D297353CC}">
              <c16:uniqueId val="{00000000-33EA-BC43-BDE0-FC69721DDC5F}"/>
            </c:ext>
          </c:extLst>
        </c:ser>
        <c:ser>
          <c:idx val="2"/>
          <c:order val="2"/>
          <c:tx>
            <c:strRef>
              <c:f>Sheet1!$D$171</c:f>
              <c:strCache>
                <c:ptCount val="1"/>
                <c:pt idx="0">
                  <c:v>Female</c:v>
                </c:pt>
              </c:strCache>
            </c:strRef>
          </c:tx>
          <c:spPr>
            <a:solidFill>
              <a:schemeClr val="accent3"/>
            </a:solidFill>
            <a:ln>
              <a:noFill/>
            </a:ln>
            <a:effectLst/>
          </c:spPr>
          <c:invertIfNegative val="0"/>
          <c:cat>
            <c:strRef>
              <c:f>Sheet1!$A$172:$A$182</c:f>
              <c:strCache>
                <c:ptCount val="11"/>
                <c:pt idx="0">
                  <c:v>0-14</c:v>
                </c:pt>
                <c:pt idx="1">
                  <c:v>15-19</c:v>
                </c:pt>
                <c:pt idx="2">
                  <c:v>20-24</c:v>
                </c:pt>
                <c:pt idx="3">
                  <c:v>25-29</c:v>
                </c:pt>
                <c:pt idx="4">
                  <c:v>30-34</c:v>
                </c:pt>
                <c:pt idx="5">
                  <c:v>35-39</c:v>
                </c:pt>
                <c:pt idx="6">
                  <c:v>40-44</c:v>
                </c:pt>
                <c:pt idx="7">
                  <c:v>45-49</c:v>
                </c:pt>
                <c:pt idx="8">
                  <c:v>50-54</c:v>
                </c:pt>
                <c:pt idx="9">
                  <c:v>55-59</c:v>
                </c:pt>
                <c:pt idx="10">
                  <c:v>60-64</c:v>
                </c:pt>
              </c:strCache>
            </c:strRef>
          </c:cat>
          <c:val>
            <c:numRef>
              <c:f>Sheet1!$D$172:$D$182</c:f>
              <c:numCache>
                <c:formatCode>#,##0</c:formatCode>
                <c:ptCount val="11"/>
                <c:pt idx="0" formatCode="General">
                  <c:v>299</c:v>
                </c:pt>
                <c:pt idx="1">
                  <c:v>1523</c:v>
                </c:pt>
                <c:pt idx="2">
                  <c:v>1665</c:v>
                </c:pt>
                <c:pt idx="3">
                  <c:v>1406</c:v>
                </c:pt>
                <c:pt idx="4">
                  <c:v>1015</c:v>
                </c:pt>
                <c:pt idx="5" formatCode="General">
                  <c:v>586</c:v>
                </c:pt>
                <c:pt idx="6" formatCode="General">
                  <c:v>313</c:v>
                </c:pt>
                <c:pt idx="7" formatCode="General">
                  <c:v>203</c:v>
                </c:pt>
                <c:pt idx="8" formatCode="General">
                  <c:v>158</c:v>
                </c:pt>
                <c:pt idx="9" formatCode="General">
                  <c:v>120</c:v>
                </c:pt>
                <c:pt idx="10" formatCode="General">
                  <c:v>90</c:v>
                </c:pt>
              </c:numCache>
            </c:numRef>
          </c:val>
          <c:extLst>
            <c:ext xmlns:c16="http://schemas.microsoft.com/office/drawing/2014/chart" uri="{C3380CC4-5D6E-409C-BE32-E72D297353CC}">
              <c16:uniqueId val="{00000001-33EA-BC43-BDE0-FC69721DDC5F}"/>
            </c:ext>
          </c:extLst>
        </c:ser>
        <c:dLbls>
          <c:showLegendKey val="0"/>
          <c:showVal val="0"/>
          <c:showCatName val="0"/>
          <c:showSerName val="0"/>
          <c:showPercent val="0"/>
          <c:showBubbleSize val="0"/>
        </c:dLbls>
        <c:gapWidth val="300"/>
        <c:axId val="461102864"/>
        <c:axId val="461105216"/>
        <c:extLst>
          <c:ext xmlns:c15="http://schemas.microsoft.com/office/drawing/2012/chart" uri="{02D57815-91ED-43cb-92C2-25804820EDAC}">
            <c15:filteredBarSeries>
              <c15:ser>
                <c:idx val="0"/>
                <c:order val="0"/>
                <c:tx>
                  <c:strRef>
                    <c:extLst>
                      <c:ext uri="{02D57815-91ED-43cb-92C2-25804820EDAC}">
                        <c15:formulaRef>
                          <c15:sqref>Sheet1!$B$171</c15:sqref>
                        </c15:formulaRef>
                      </c:ext>
                    </c:extLst>
                    <c:strCache>
                      <c:ptCount val="1"/>
                      <c:pt idx="0">
                        <c:v>Total</c:v>
                      </c:pt>
                    </c:strCache>
                  </c:strRef>
                </c:tx>
                <c:spPr>
                  <a:solidFill>
                    <a:schemeClr val="accent1"/>
                  </a:solidFill>
                  <a:ln>
                    <a:noFill/>
                  </a:ln>
                  <a:effectLst/>
                </c:spPr>
                <c:invertIfNegative val="0"/>
                <c:cat>
                  <c:strRef>
                    <c:extLst>
                      <c:ext uri="{02D57815-91ED-43cb-92C2-25804820EDAC}">
                        <c15:formulaRef>
                          <c15:sqref>Sheet1!$A$172:$A$182</c15:sqref>
                        </c15:formulaRef>
                      </c:ext>
                    </c:extLst>
                    <c:strCache>
                      <c:ptCount val="11"/>
                      <c:pt idx="0">
                        <c:v>0-14</c:v>
                      </c:pt>
                      <c:pt idx="1">
                        <c:v>15-19</c:v>
                      </c:pt>
                      <c:pt idx="2">
                        <c:v>20-24</c:v>
                      </c:pt>
                      <c:pt idx="3">
                        <c:v>25-29</c:v>
                      </c:pt>
                      <c:pt idx="4">
                        <c:v>30-34</c:v>
                      </c:pt>
                      <c:pt idx="5">
                        <c:v>35-39</c:v>
                      </c:pt>
                      <c:pt idx="6">
                        <c:v>40-44</c:v>
                      </c:pt>
                      <c:pt idx="7">
                        <c:v>45-49</c:v>
                      </c:pt>
                      <c:pt idx="8">
                        <c:v>50-54</c:v>
                      </c:pt>
                      <c:pt idx="9">
                        <c:v>55-59</c:v>
                      </c:pt>
                      <c:pt idx="10">
                        <c:v>60-64</c:v>
                      </c:pt>
                    </c:strCache>
                  </c:strRef>
                </c:cat>
                <c:val>
                  <c:numRef>
                    <c:extLst>
                      <c:ext uri="{02D57815-91ED-43cb-92C2-25804820EDAC}">
                        <c15:formulaRef>
                          <c15:sqref>Sheet1!$B$172:$B$182</c15:sqref>
                        </c15:formulaRef>
                      </c:ext>
                    </c:extLst>
                    <c:numCache>
                      <c:formatCode>#,##0</c:formatCode>
                      <c:ptCount val="11"/>
                      <c:pt idx="0" formatCode="General">
                        <c:v>607</c:v>
                      </c:pt>
                      <c:pt idx="1">
                        <c:v>1931</c:v>
                      </c:pt>
                      <c:pt idx="2">
                        <c:v>2701</c:v>
                      </c:pt>
                      <c:pt idx="3">
                        <c:v>2719</c:v>
                      </c:pt>
                      <c:pt idx="4">
                        <c:v>2214</c:v>
                      </c:pt>
                      <c:pt idx="5">
                        <c:v>1436</c:v>
                      </c:pt>
                      <c:pt idx="6" formatCode="General">
                        <c:v>801</c:v>
                      </c:pt>
                      <c:pt idx="7" formatCode="General">
                        <c:v>472</c:v>
                      </c:pt>
                      <c:pt idx="8" formatCode="General">
                        <c:v>332</c:v>
                      </c:pt>
                      <c:pt idx="9" formatCode="General">
                        <c:v>234</c:v>
                      </c:pt>
                      <c:pt idx="10" formatCode="General">
                        <c:v>169</c:v>
                      </c:pt>
                    </c:numCache>
                  </c:numRef>
                </c:val>
                <c:extLst>
                  <c:ext xmlns:c16="http://schemas.microsoft.com/office/drawing/2014/chart" uri="{C3380CC4-5D6E-409C-BE32-E72D297353CC}">
                    <c16:uniqueId val="{00000002-33EA-BC43-BDE0-FC69721DDC5F}"/>
                  </c:ext>
                </c:extLst>
              </c15:ser>
            </c15:filteredBarSeries>
          </c:ext>
        </c:extLst>
      </c:barChart>
      <c:catAx>
        <c:axId val="4611028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Age Groups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1105216"/>
        <c:crosses val="autoZero"/>
        <c:auto val="1"/>
        <c:lblAlgn val="ctr"/>
        <c:lblOffset val="100"/>
        <c:noMultiLvlLbl val="0"/>
      </c:catAx>
      <c:valAx>
        <c:axId val="46110521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New</a:t>
                </a:r>
                <a:r>
                  <a:rPr lang="en-US" baseline="0"/>
                  <a:t> HIV Infections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11028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071E9-4DF5-4F87-9882-959885E81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5780</Words>
  <Characters>32949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TSHOGIE</dc:creator>
  <cp:lastModifiedBy>Andson Nsune</cp:lastModifiedBy>
  <cp:revision>2</cp:revision>
  <cp:lastPrinted>2019-12-18T08:14:00Z</cp:lastPrinted>
  <dcterms:created xsi:type="dcterms:W3CDTF">2019-12-20T17:09:00Z</dcterms:created>
  <dcterms:modified xsi:type="dcterms:W3CDTF">2019-12-20T17:09:00Z</dcterms:modified>
</cp:coreProperties>
</file>