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B90" w:rsidRPr="00F25B11" w:rsidRDefault="00FD0B90" w:rsidP="00FD0B90">
      <w:pPr>
        <w:jc w:val="center"/>
        <w:rPr>
          <w:b/>
          <w:bCs/>
          <w:sz w:val="40"/>
          <w:szCs w:val="40"/>
        </w:rPr>
      </w:pPr>
      <w:r w:rsidRPr="00F25B11">
        <w:rPr>
          <w:b/>
          <w:bCs/>
          <w:sz w:val="40"/>
          <w:szCs w:val="40"/>
        </w:rPr>
        <w:t>République Algérienne Démocratique et Populaire</w:t>
      </w: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80243E" w:rsidP="00FD0B90">
      <w:pPr>
        <w:rPr>
          <w:b/>
          <w:bCs/>
          <w:sz w:val="24"/>
          <w:szCs w:val="24"/>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195580</wp:posOffset>
                </wp:positionH>
                <wp:positionV relativeFrom="paragraph">
                  <wp:posOffset>24130</wp:posOffset>
                </wp:positionV>
                <wp:extent cx="5334000" cy="3371850"/>
                <wp:effectExtent l="0" t="0" r="0" b="0"/>
                <wp:wrapNone/>
                <wp:docPr id="20"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33718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3911B3" w:rsidRPr="00E955E4" w:rsidRDefault="003911B3" w:rsidP="008A6DB2">
                            <w:pPr>
                              <w:jc w:val="center"/>
                              <w:rPr>
                                <w:b/>
                                <w:bCs/>
                                <w:sz w:val="40"/>
                                <w:szCs w:val="40"/>
                              </w:rPr>
                            </w:pPr>
                            <w:r w:rsidRPr="00E955E4">
                              <w:rPr>
                                <w:b/>
                                <w:bCs/>
                                <w:sz w:val="40"/>
                                <w:szCs w:val="40"/>
                              </w:rPr>
                              <w:t xml:space="preserve">RAPPORT NATIONAL SUR LA MISE </w:t>
                            </w:r>
                          </w:p>
                          <w:p w:rsidR="003911B3" w:rsidRPr="00E955E4" w:rsidRDefault="003911B3" w:rsidP="008A6DB2">
                            <w:pPr>
                              <w:jc w:val="center"/>
                              <w:rPr>
                                <w:b/>
                                <w:bCs/>
                                <w:sz w:val="40"/>
                                <w:szCs w:val="40"/>
                              </w:rPr>
                            </w:pPr>
                            <w:r w:rsidRPr="00E955E4">
                              <w:rPr>
                                <w:b/>
                                <w:bCs/>
                                <w:sz w:val="40"/>
                                <w:szCs w:val="40"/>
                              </w:rPr>
                              <w:t>EN OEUVRE DE L’AGENDA 2063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à coins arrondis 1" o:spid="_x0000_s1026" style="position:absolute;margin-left:15.4pt;margin-top:1.9pt;width:420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" fillcolor="#5b9bd5" strokecolor="#41719c" strokeweight="1pt">
                <v:stroke joinstyle="miter"/>
                <v:path arrowok="t"/>
                <v:textbox>
                  <w:txbxContent>
                    <w:p w:rsidR="003911B3" w:rsidRPr="00E955E4" w:rsidRDefault="003911B3" w:rsidP="008A6DB2">
                      <w:pPr>
                        <w:jc w:val="center"/>
                        <w:rPr>
                          <w:b/>
                          <w:bCs/>
                          <w:sz w:val="40"/>
                          <w:szCs w:val="40"/>
                        </w:rPr>
                      </w:pPr>
                      <w:r w:rsidRPr="00E955E4">
                        <w:rPr>
                          <w:b/>
                          <w:bCs/>
                          <w:sz w:val="40"/>
                          <w:szCs w:val="40"/>
                        </w:rPr>
                        <w:t xml:space="preserve">RAPPORT NATIONAL SUR LA MISE </w:t>
                      </w:r>
                    </w:p>
                    <w:p w:rsidR="003911B3" w:rsidRPr="00E955E4" w:rsidRDefault="003911B3" w:rsidP="008A6DB2">
                      <w:pPr>
                        <w:jc w:val="center"/>
                        <w:rPr>
                          <w:b/>
                          <w:bCs/>
                          <w:sz w:val="40"/>
                          <w:szCs w:val="40"/>
                        </w:rPr>
                      </w:pPr>
                      <w:r w:rsidRPr="00E955E4">
                        <w:rPr>
                          <w:b/>
                          <w:bCs/>
                          <w:sz w:val="40"/>
                          <w:szCs w:val="40"/>
                        </w:rPr>
                        <w:t>EN OEUVRE DE L’AGENDA 2063</w:t>
                      </w:r>
                    </w:p>
                  </w:txbxContent>
                </v:textbox>
              </v:roundrect>
            </w:pict>
          </mc:Fallback>
        </mc:AlternateContent>
      </w: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FD0B90" w:rsidRDefault="00FD0B90" w:rsidP="00FD0B90">
      <w:pPr>
        <w:rPr>
          <w:b/>
          <w:bCs/>
          <w:sz w:val="24"/>
          <w:szCs w:val="24"/>
          <w:u w:val="single"/>
        </w:rPr>
      </w:pPr>
    </w:p>
    <w:p w:rsidR="00C12356" w:rsidRDefault="00C12356" w:rsidP="00FD0B90">
      <w:pPr>
        <w:rPr>
          <w:b/>
          <w:bCs/>
          <w:sz w:val="24"/>
          <w:szCs w:val="24"/>
          <w:u w:val="single"/>
        </w:rPr>
      </w:pPr>
    </w:p>
    <w:p w:rsidR="00C12356" w:rsidRDefault="00C12356" w:rsidP="00FD0B90">
      <w:pPr>
        <w:rPr>
          <w:b/>
          <w:bCs/>
          <w:sz w:val="24"/>
          <w:szCs w:val="24"/>
          <w:u w:val="single"/>
        </w:rPr>
      </w:pPr>
    </w:p>
    <w:p w:rsidR="00FD0B90" w:rsidRDefault="00372C44" w:rsidP="00372C44">
      <w:pPr>
        <w:ind w:left="6372" w:firstLine="708"/>
        <w:rPr>
          <w:b/>
          <w:bCs/>
          <w:sz w:val="24"/>
          <w:szCs w:val="24"/>
          <w:u w:val="single"/>
        </w:rPr>
      </w:pPr>
      <w:r>
        <w:rPr>
          <w:b/>
          <w:bCs/>
          <w:sz w:val="24"/>
          <w:szCs w:val="24"/>
          <w:u w:val="single"/>
        </w:rPr>
        <w:t xml:space="preserve">Février </w:t>
      </w:r>
      <w:r w:rsidR="00F25B11">
        <w:rPr>
          <w:b/>
          <w:bCs/>
          <w:sz w:val="24"/>
          <w:szCs w:val="24"/>
          <w:u w:val="single"/>
        </w:rPr>
        <w:t>2020</w:t>
      </w:r>
    </w:p>
    <w:p w:rsidR="00FD0B90" w:rsidRDefault="00FD0B90" w:rsidP="00FD0B90">
      <w:pPr>
        <w:rPr>
          <w:b/>
          <w:bCs/>
          <w:sz w:val="24"/>
          <w:szCs w:val="24"/>
          <w:u w:val="single"/>
        </w:rPr>
      </w:pPr>
    </w:p>
    <w:p w:rsidR="00584659" w:rsidRPr="00584659" w:rsidRDefault="00584659" w:rsidP="00584659">
      <w:pPr>
        <w:jc w:val="center"/>
        <w:rPr>
          <w:b/>
          <w:bCs/>
          <w:sz w:val="40"/>
          <w:szCs w:val="40"/>
        </w:rPr>
      </w:pPr>
      <w:r w:rsidRPr="008F4AD8">
        <w:rPr>
          <w:b/>
          <w:bCs/>
          <w:sz w:val="40"/>
          <w:szCs w:val="40"/>
        </w:rPr>
        <w:lastRenderedPageBreak/>
        <w:t>Table des matières</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079"/>
        <w:gridCol w:w="851"/>
      </w:tblGrid>
      <w:tr w:rsidR="00584659" w:rsidTr="00CC2B09">
        <w:trPr>
          <w:trHeight w:val="10622"/>
        </w:trPr>
        <w:tc>
          <w:tcPr>
            <w:tcW w:w="534" w:type="dxa"/>
          </w:tcPr>
          <w:p w:rsidR="00584659" w:rsidRPr="00932A74" w:rsidRDefault="00584659" w:rsidP="00543EC5">
            <w:pPr>
              <w:rPr>
                <w:b/>
                <w:bCs/>
                <w:sz w:val="24"/>
                <w:szCs w:val="24"/>
                <w:lang w:val="en-US"/>
              </w:rPr>
            </w:pPr>
          </w:p>
          <w:p w:rsidR="00932A74" w:rsidRDefault="00175D40" w:rsidP="00543EC5">
            <w:pPr>
              <w:rPr>
                <w:b/>
                <w:bCs/>
                <w:sz w:val="24"/>
                <w:szCs w:val="24"/>
                <w:lang w:val="en-US"/>
              </w:rPr>
            </w:pPr>
            <w:r>
              <w:rPr>
                <w:b/>
                <w:bCs/>
                <w:sz w:val="24"/>
                <w:szCs w:val="24"/>
                <w:lang w:val="en-US"/>
              </w:rPr>
              <w:t>I</w:t>
            </w:r>
          </w:p>
          <w:p w:rsidR="00584659" w:rsidRPr="00932A74" w:rsidRDefault="00584659" w:rsidP="00543EC5">
            <w:pPr>
              <w:rPr>
                <w:b/>
                <w:bCs/>
                <w:sz w:val="24"/>
                <w:szCs w:val="24"/>
                <w:lang w:val="en-US"/>
              </w:rPr>
            </w:pPr>
            <w:r w:rsidRPr="00932A74">
              <w:rPr>
                <w:b/>
                <w:bCs/>
                <w:sz w:val="24"/>
                <w:szCs w:val="24"/>
                <w:lang w:val="en-US"/>
              </w:rPr>
              <w:t>I</w:t>
            </w:r>
            <w:r w:rsidR="00175D40">
              <w:rPr>
                <w:b/>
                <w:bCs/>
                <w:sz w:val="24"/>
                <w:szCs w:val="24"/>
                <w:lang w:val="en-US"/>
              </w:rPr>
              <w:t>I</w:t>
            </w:r>
          </w:p>
          <w:p w:rsidR="00584659" w:rsidRPr="00932A74" w:rsidRDefault="00584659" w:rsidP="00543EC5">
            <w:pPr>
              <w:rPr>
                <w:b/>
                <w:bCs/>
                <w:sz w:val="24"/>
                <w:szCs w:val="24"/>
                <w:lang w:val="en-US"/>
              </w:rPr>
            </w:pPr>
            <w:r w:rsidRPr="00932A74">
              <w:rPr>
                <w:b/>
                <w:bCs/>
                <w:sz w:val="24"/>
                <w:szCs w:val="24"/>
                <w:lang w:val="en-US"/>
              </w:rPr>
              <w:t>II</w:t>
            </w:r>
            <w:r w:rsidR="00175D40">
              <w:rPr>
                <w:b/>
                <w:bCs/>
                <w:sz w:val="24"/>
                <w:szCs w:val="24"/>
                <w:lang w:val="en-US"/>
              </w:rPr>
              <w:t>I</w:t>
            </w: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Pr="00932A74" w:rsidRDefault="00584659" w:rsidP="00543EC5">
            <w:pPr>
              <w:rPr>
                <w:b/>
                <w:bCs/>
                <w:sz w:val="24"/>
                <w:szCs w:val="24"/>
                <w:lang w:val="en-US"/>
              </w:rPr>
            </w:pPr>
          </w:p>
          <w:p w:rsidR="00584659" w:rsidRDefault="00584659" w:rsidP="00543EC5">
            <w:pPr>
              <w:rPr>
                <w:b/>
                <w:bCs/>
                <w:sz w:val="6"/>
                <w:szCs w:val="6"/>
                <w:lang w:val="en-US"/>
              </w:rPr>
            </w:pPr>
          </w:p>
          <w:p w:rsidR="00250FDA" w:rsidRDefault="00250FDA" w:rsidP="00543EC5">
            <w:pPr>
              <w:rPr>
                <w:b/>
                <w:bCs/>
                <w:sz w:val="6"/>
                <w:szCs w:val="6"/>
                <w:lang w:val="en-US"/>
              </w:rPr>
            </w:pPr>
          </w:p>
          <w:p w:rsidR="00584659" w:rsidRPr="00932A74" w:rsidRDefault="00584659" w:rsidP="00543EC5">
            <w:pPr>
              <w:rPr>
                <w:b/>
                <w:bCs/>
                <w:sz w:val="24"/>
                <w:szCs w:val="24"/>
                <w:lang w:val="en-US"/>
              </w:rPr>
            </w:pPr>
            <w:r w:rsidRPr="00932A74">
              <w:rPr>
                <w:b/>
                <w:bCs/>
                <w:sz w:val="24"/>
                <w:szCs w:val="24"/>
                <w:lang w:val="en-US"/>
              </w:rPr>
              <w:t>IV</w:t>
            </w:r>
          </w:p>
          <w:p w:rsidR="00584659" w:rsidRPr="00932A74" w:rsidRDefault="00584659" w:rsidP="00543EC5">
            <w:pPr>
              <w:rPr>
                <w:b/>
                <w:bCs/>
                <w:sz w:val="24"/>
                <w:szCs w:val="24"/>
                <w:lang w:val="en-US"/>
              </w:rPr>
            </w:pPr>
            <w:r w:rsidRPr="00932A74">
              <w:rPr>
                <w:b/>
                <w:bCs/>
                <w:sz w:val="24"/>
                <w:szCs w:val="24"/>
                <w:lang w:val="en-US"/>
              </w:rPr>
              <w:t>V</w:t>
            </w:r>
          </w:p>
          <w:p w:rsidR="00584659" w:rsidRPr="00616712" w:rsidRDefault="00175D40" w:rsidP="00175D40">
            <w:pPr>
              <w:rPr>
                <w:b/>
                <w:bCs/>
                <w:sz w:val="24"/>
                <w:szCs w:val="24"/>
                <w:lang w:val="en-US"/>
              </w:rPr>
            </w:pPr>
            <w:r w:rsidRPr="00616712">
              <w:rPr>
                <w:b/>
                <w:bCs/>
                <w:sz w:val="24"/>
                <w:szCs w:val="24"/>
                <w:lang w:val="en-US"/>
              </w:rPr>
              <w:t>VI</w:t>
            </w:r>
          </w:p>
          <w:p w:rsidR="00175D40" w:rsidRPr="00932A74" w:rsidRDefault="00175D40" w:rsidP="00175D40">
            <w:pPr>
              <w:rPr>
                <w:b/>
                <w:bCs/>
                <w:sz w:val="24"/>
                <w:szCs w:val="24"/>
              </w:rPr>
            </w:pPr>
            <w:r>
              <w:rPr>
                <w:b/>
                <w:bCs/>
                <w:sz w:val="24"/>
                <w:szCs w:val="24"/>
              </w:rPr>
              <w:t>VII</w:t>
            </w:r>
          </w:p>
        </w:tc>
        <w:tc>
          <w:tcPr>
            <w:tcW w:w="8079" w:type="dxa"/>
          </w:tcPr>
          <w:p w:rsidR="00E32BE3" w:rsidRDefault="00E32BE3" w:rsidP="00543EC5">
            <w:pPr>
              <w:rPr>
                <w:b/>
                <w:bCs/>
                <w:sz w:val="24"/>
                <w:szCs w:val="24"/>
              </w:rPr>
            </w:pPr>
          </w:p>
          <w:p w:rsidR="00584659" w:rsidRPr="008F4AD8" w:rsidRDefault="00932A74" w:rsidP="00932A74">
            <w:pPr>
              <w:rPr>
                <w:b/>
                <w:bCs/>
                <w:sz w:val="24"/>
                <w:szCs w:val="24"/>
              </w:rPr>
            </w:pPr>
            <w:r>
              <w:rPr>
                <w:b/>
                <w:bCs/>
                <w:sz w:val="24"/>
                <w:szCs w:val="24"/>
              </w:rPr>
              <w:t>-INTRODUCTION</w:t>
            </w:r>
            <w:r w:rsidR="00584659" w:rsidRPr="008F4AD8">
              <w:rPr>
                <w:b/>
                <w:bCs/>
                <w:sz w:val="24"/>
                <w:szCs w:val="24"/>
              </w:rPr>
              <w:t> </w:t>
            </w:r>
          </w:p>
          <w:p w:rsidR="00584659" w:rsidRPr="008F4AD8" w:rsidRDefault="00584659" w:rsidP="00543EC5">
            <w:pPr>
              <w:jc w:val="both"/>
              <w:rPr>
                <w:b/>
                <w:bCs/>
                <w:sz w:val="24"/>
                <w:szCs w:val="24"/>
              </w:rPr>
            </w:pPr>
            <w:r w:rsidRPr="008F4AD8">
              <w:rPr>
                <w:b/>
                <w:bCs/>
                <w:sz w:val="24"/>
                <w:szCs w:val="24"/>
              </w:rPr>
              <w:t>- APERCU SUR LA SITUATION SOCIOECONOMIQUE DE l’ALGERIE</w:t>
            </w:r>
            <w:r>
              <w:rPr>
                <w:b/>
                <w:bCs/>
                <w:sz w:val="24"/>
                <w:szCs w:val="24"/>
              </w:rPr>
              <w:t> :……………………</w:t>
            </w:r>
          </w:p>
          <w:p w:rsidR="00584659" w:rsidRPr="008F4AD8" w:rsidRDefault="00584659" w:rsidP="00543EC5">
            <w:pPr>
              <w:jc w:val="both"/>
              <w:rPr>
                <w:b/>
                <w:bCs/>
                <w:sz w:val="24"/>
                <w:szCs w:val="24"/>
              </w:rPr>
            </w:pPr>
            <w:r w:rsidRPr="008F4AD8">
              <w:rPr>
                <w:b/>
                <w:bCs/>
                <w:sz w:val="24"/>
                <w:szCs w:val="24"/>
              </w:rPr>
              <w:t>-ETAT DES LIEUX DE LA MISE EN OUVRE DES OBJECTIFS DE L’AGENDA 2063</w:t>
            </w:r>
            <w:r>
              <w:rPr>
                <w:b/>
                <w:bCs/>
                <w:sz w:val="24"/>
                <w:szCs w:val="24"/>
              </w:rPr>
              <w:t> :…</w:t>
            </w:r>
          </w:p>
          <w:p w:rsidR="00584659" w:rsidRPr="008F4AD8" w:rsidRDefault="00584659" w:rsidP="00E32BE3">
            <w:pPr>
              <w:jc w:val="both"/>
              <w:rPr>
                <w:b/>
                <w:bCs/>
                <w:sz w:val="24"/>
                <w:szCs w:val="24"/>
              </w:rPr>
            </w:pPr>
            <w:r w:rsidRPr="008F4AD8">
              <w:rPr>
                <w:b/>
                <w:bCs/>
                <w:sz w:val="24"/>
                <w:szCs w:val="24"/>
                <w:u w:val="single"/>
              </w:rPr>
              <w:t>ASPIRATION 1</w:t>
            </w:r>
            <w:r w:rsidRPr="008F4AD8">
              <w:rPr>
                <w:b/>
                <w:bCs/>
                <w:sz w:val="24"/>
                <w:szCs w:val="24"/>
              </w:rPr>
              <w:t> : UNE AFRIQUE PROSPERE FONDEE SUR UNE CROISSANCE INCLUSIVE ET UN DEVELOPPEMENT DURABLE</w:t>
            </w:r>
            <w:r>
              <w:rPr>
                <w:b/>
                <w:bCs/>
                <w:sz w:val="24"/>
                <w:szCs w:val="24"/>
              </w:rPr>
              <w:t> :………</w:t>
            </w:r>
            <w:r w:rsidR="00E32BE3">
              <w:rPr>
                <w:b/>
                <w:bCs/>
                <w:sz w:val="24"/>
                <w:szCs w:val="24"/>
              </w:rPr>
              <w:t>………………………………………..</w:t>
            </w:r>
          </w:p>
          <w:p w:rsidR="00584659" w:rsidRPr="008F4AD8" w:rsidRDefault="00584659" w:rsidP="00543EC5">
            <w:pPr>
              <w:ind w:left="426"/>
              <w:rPr>
                <w:sz w:val="24"/>
                <w:szCs w:val="24"/>
              </w:rPr>
            </w:pPr>
            <w:r w:rsidRPr="00250FDA">
              <w:rPr>
                <w:b/>
                <w:bCs/>
                <w:sz w:val="24"/>
                <w:szCs w:val="24"/>
                <w:u w:val="single"/>
              </w:rPr>
              <w:t>Objectif 1</w:t>
            </w:r>
            <w:r w:rsidRPr="008F4AD8">
              <w:rPr>
                <w:sz w:val="24"/>
                <w:szCs w:val="24"/>
              </w:rPr>
              <w:t xml:space="preserve"> : Un niveau de vie et une qualité de vie élevés et le bien être pour toutes les populations africaines</w:t>
            </w:r>
            <w:r>
              <w:rPr>
                <w:sz w:val="24"/>
                <w:szCs w:val="24"/>
              </w:rPr>
              <w:t> :</w:t>
            </w:r>
            <w:r w:rsidRPr="008F4AD8">
              <w:rPr>
                <w:sz w:val="24"/>
                <w:szCs w:val="24"/>
              </w:rPr>
              <w:t>…………</w:t>
            </w:r>
            <w:r>
              <w:rPr>
                <w:sz w:val="24"/>
                <w:szCs w:val="24"/>
              </w:rPr>
              <w:t>……………………………………………………</w:t>
            </w:r>
            <w:r w:rsidR="00E32BE3">
              <w:rPr>
                <w:sz w:val="24"/>
                <w:szCs w:val="24"/>
              </w:rPr>
              <w:t>…</w:t>
            </w:r>
          </w:p>
          <w:p w:rsidR="00584659" w:rsidRPr="008F4AD8" w:rsidRDefault="00584659" w:rsidP="00543EC5">
            <w:pPr>
              <w:ind w:left="426"/>
              <w:rPr>
                <w:sz w:val="24"/>
                <w:szCs w:val="24"/>
              </w:rPr>
            </w:pPr>
            <w:r w:rsidRPr="00250FDA">
              <w:rPr>
                <w:b/>
                <w:bCs/>
                <w:sz w:val="24"/>
                <w:szCs w:val="24"/>
                <w:u w:val="single"/>
              </w:rPr>
              <w:t>Objectif 2</w:t>
            </w:r>
            <w:r w:rsidRPr="008F4AD8">
              <w:rPr>
                <w:sz w:val="24"/>
                <w:szCs w:val="24"/>
              </w:rPr>
              <w:t xml:space="preserve"> : Des citoyens bien instruits et une révolution des compétences appuyée par la science, la technologie et l’innovation</w:t>
            </w:r>
            <w:r>
              <w:rPr>
                <w:sz w:val="24"/>
                <w:szCs w:val="24"/>
              </w:rPr>
              <w:t> :……………………………….</w:t>
            </w:r>
          </w:p>
          <w:p w:rsidR="00584659" w:rsidRPr="008F4AD8" w:rsidRDefault="00584659" w:rsidP="00543EC5">
            <w:pPr>
              <w:ind w:left="426"/>
              <w:rPr>
                <w:sz w:val="24"/>
                <w:szCs w:val="24"/>
              </w:rPr>
            </w:pPr>
            <w:r w:rsidRPr="00250FDA">
              <w:rPr>
                <w:b/>
                <w:bCs/>
                <w:sz w:val="24"/>
                <w:szCs w:val="24"/>
                <w:u w:val="single"/>
              </w:rPr>
              <w:t>Objectif 3</w:t>
            </w:r>
            <w:r w:rsidRPr="008F4AD8">
              <w:rPr>
                <w:sz w:val="24"/>
                <w:szCs w:val="24"/>
              </w:rPr>
              <w:t xml:space="preserve"> : Des citoyens en bonne santé et bien nourris</w:t>
            </w:r>
            <w:r>
              <w:rPr>
                <w:sz w:val="24"/>
                <w:szCs w:val="24"/>
              </w:rPr>
              <w:t> : ……………………………</w:t>
            </w:r>
          </w:p>
          <w:p w:rsidR="00584659" w:rsidRPr="008F4AD8" w:rsidRDefault="00584659" w:rsidP="00543EC5">
            <w:pPr>
              <w:ind w:left="426"/>
              <w:rPr>
                <w:sz w:val="24"/>
                <w:szCs w:val="24"/>
              </w:rPr>
            </w:pPr>
            <w:r w:rsidRPr="00250FDA">
              <w:rPr>
                <w:b/>
                <w:bCs/>
                <w:sz w:val="24"/>
                <w:szCs w:val="24"/>
                <w:u w:val="single"/>
              </w:rPr>
              <w:t>Objectif 4</w:t>
            </w:r>
            <w:r w:rsidRPr="008F4AD8">
              <w:rPr>
                <w:sz w:val="24"/>
                <w:szCs w:val="24"/>
              </w:rPr>
              <w:t xml:space="preserve"> : Des économies transformées et création d’emplois</w:t>
            </w:r>
            <w:r>
              <w:rPr>
                <w:sz w:val="24"/>
                <w:szCs w:val="24"/>
              </w:rPr>
              <w:t> :………………</w:t>
            </w:r>
            <w:r w:rsidR="00E32BE3">
              <w:rPr>
                <w:sz w:val="24"/>
                <w:szCs w:val="24"/>
              </w:rPr>
              <w:t>…</w:t>
            </w:r>
          </w:p>
          <w:p w:rsidR="00584659" w:rsidRPr="008F4AD8" w:rsidRDefault="00584659" w:rsidP="00E32BE3">
            <w:pPr>
              <w:ind w:left="426"/>
              <w:rPr>
                <w:sz w:val="24"/>
                <w:szCs w:val="24"/>
              </w:rPr>
            </w:pPr>
            <w:r w:rsidRPr="00250FDA">
              <w:rPr>
                <w:b/>
                <w:bCs/>
                <w:sz w:val="24"/>
                <w:szCs w:val="24"/>
                <w:u w:val="single"/>
              </w:rPr>
              <w:t>Objectif 5</w:t>
            </w:r>
            <w:r w:rsidRPr="008F4AD8">
              <w:rPr>
                <w:sz w:val="24"/>
                <w:szCs w:val="24"/>
              </w:rPr>
              <w:t xml:space="preserve"> : Une agriculture moderne pour une production et une productivité renforcées</w:t>
            </w:r>
            <w:r>
              <w:rPr>
                <w:sz w:val="24"/>
                <w:szCs w:val="24"/>
              </w:rPr>
              <w:t> :</w:t>
            </w:r>
            <w:r w:rsidRPr="008F4AD8">
              <w:rPr>
                <w:sz w:val="24"/>
                <w:szCs w:val="24"/>
              </w:rPr>
              <w:t>……………………………</w:t>
            </w:r>
            <w:r>
              <w:rPr>
                <w:sz w:val="24"/>
                <w:szCs w:val="24"/>
              </w:rPr>
              <w:t>…………………………………………………</w:t>
            </w:r>
          </w:p>
          <w:p w:rsidR="00584659" w:rsidRPr="008F4AD8" w:rsidRDefault="00584659" w:rsidP="00543EC5">
            <w:pPr>
              <w:ind w:left="426"/>
              <w:rPr>
                <w:sz w:val="24"/>
                <w:szCs w:val="24"/>
              </w:rPr>
            </w:pPr>
            <w:r w:rsidRPr="00250FDA">
              <w:rPr>
                <w:b/>
                <w:bCs/>
                <w:sz w:val="24"/>
                <w:szCs w:val="24"/>
                <w:u w:val="single"/>
              </w:rPr>
              <w:t>Objectif 6</w:t>
            </w:r>
            <w:r w:rsidRPr="008F4AD8">
              <w:rPr>
                <w:sz w:val="24"/>
                <w:szCs w:val="24"/>
              </w:rPr>
              <w:t xml:space="preserve"> : Economie bleu/des océans pour une croissance économique accélérée</w:t>
            </w:r>
            <w:r>
              <w:rPr>
                <w:sz w:val="24"/>
                <w:szCs w:val="24"/>
              </w:rPr>
              <w:t> :…………………………………………………………………………………………………..</w:t>
            </w:r>
          </w:p>
          <w:p w:rsidR="00584659" w:rsidRPr="008F4AD8" w:rsidRDefault="00584659" w:rsidP="00543EC5">
            <w:pPr>
              <w:ind w:left="426"/>
              <w:rPr>
                <w:sz w:val="24"/>
                <w:szCs w:val="24"/>
              </w:rPr>
            </w:pPr>
            <w:r w:rsidRPr="00250FDA">
              <w:rPr>
                <w:b/>
                <w:bCs/>
                <w:sz w:val="24"/>
                <w:szCs w:val="24"/>
                <w:u w:val="single"/>
              </w:rPr>
              <w:t>Objectif 7</w:t>
            </w:r>
            <w:r w:rsidRPr="008F4AD8">
              <w:rPr>
                <w:sz w:val="24"/>
                <w:szCs w:val="24"/>
              </w:rPr>
              <w:t xml:space="preserve"> : des économies et des collectivités durables sur le plan environnemental et du climat</w:t>
            </w:r>
            <w:r>
              <w:rPr>
                <w:sz w:val="24"/>
                <w:szCs w:val="24"/>
              </w:rPr>
              <w:t> :</w:t>
            </w:r>
            <w:r w:rsidRPr="008F4AD8">
              <w:rPr>
                <w:sz w:val="24"/>
                <w:szCs w:val="24"/>
              </w:rPr>
              <w:t>………………………</w:t>
            </w:r>
            <w:r>
              <w:rPr>
                <w:sz w:val="24"/>
                <w:szCs w:val="24"/>
              </w:rPr>
              <w:t>……………………………………….</w:t>
            </w:r>
            <w:r w:rsidRPr="008F4AD8">
              <w:rPr>
                <w:sz w:val="24"/>
                <w:szCs w:val="24"/>
              </w:rPr>
              <w:t>…..</w:t>
            </w:r>
          </w:p>
          <w:p w:rsidR="00584659" w:rsidRPr="008F4AD8" w:rsidRDefault="00584659" w:rsidP="00543EC5">
            <w:pPr>
              <w:rPr>
                <w:b/>
                <w:bCs/>
                <w:sz w:val="24"/>
                <w:szCs w:val="24"/>
              </w:rPr>
            </w:pPr>
            <w:r w:rsidRPr="008F4AD8">
              <w:rPr>
                <w:b/>
                <w:bCs/>
                <w:sz w:val="24"/>
                <w:szCs w:val="24"/>
                <w:u w:val="single"/>
              </w:rPr>
              <w:t>ASPIRATION 2</w:t>
            </w:r>
            <w:r w:rsidRPr="008F4AD8">
              <w:rPr>
                <w:b/>
                <w:bCs/>
                <w:sz w:val="24"/>
                <w:szCs w:val="24"/>
              </w:rPr>
              <w:t> : UN CONTINENT INTEGRE, POLITIQUEMENT UNI, FONDE SUR LES IDEAUX DU PANAFRICANISME ET DE LA VISION DE LA RENAISSANCE DE L’AFRIQUE</w:t>
            </w:r>
            <w:r>
              <w:rPr>
                <w:b/>
                <w:bCs/>
                <w:sz w:val="24"/>
                <w:szCs w:val="24"/>
              </w:rPr>
              <w:t> :</w:t>
            </w:r>
            <w:r w:rsidRPr="008F4AD8">
              <w:rPr>
                <w:b/>
                <w:bCs/>
                <w:sz w:val="24"/>
                <w:szCs w:val="24"/>
              </w:rPr>
              <w:t>…………………</w:t>
            </w:r>
            <w:r>
              <w:rPr>
                <w:b/>
                <w:bCs/>
                <w:sz w:val="24"/>
                <w:szCs w:val="24"/>
              </w:rPr>
              <w:t>………………………………………………………………………………….</w:t>
            </w:r>
          </w:p>
          <w:p w:rsidR="00584659" w:rsidRPr="008F4AD8" w:rsidRDefault="00584659" w:rsidP="00E32BE3">
            <w:pPr>
              <w:ind w:left="426"/>
              <w:jc w:val="both"/>
              <w:rPr>
                <w:sz w:val="24"/>
                <w:szCs w:val="24"/>
              </w:rPr>
            </w:pPr>
            <w:r w:rsidRPr="00250FDA">
              <w:rPr>
                <w:b/>
                <w:bCs/>
                <w:sz w:val="24"/>
                <w:szCs w:val="24"/>
                <w:u w:val="single"/>
              </w:rPr>
              <w:t>Objectif 8</w:t>
            </w:r>
            <w:r w:rsidRPr="008F4AD8">
              <w:rPr>
                <w:sz w:val="24"/>
                <w:szCs w:val="24"/>
              </w:rPr>
              <w:t xml:space="preserve"> : Une Afrique unies clés (Fédération ou confédéré)</w:t>
            </w:r>
            <w:r>
              <w:rPr>
                <w:sz w:val="24"/>
                <w:szCs w:val="24"/>
              </w:rPr>
              <w:t> :……………………</w:t>
            </w:r>
          </w:p>
          <w:p w:rsidR="00584659" w:rsidRPr="008F4AD8" w:rsidRDefault="00250FDA" w:rsidP="00250FDA">
            <w:pPr>
              <w:ind w:left="426"/>
              <w:jc w:val="both"/>
              <w:rPr>
                <w:sz w:val="24"/>
                <w:szCs w:val="24"/>
              </w:rPr>
            </w:pPr>
            <w:r w:rsidRPr="00250FDA">
              <w:rPr>
                <w:b/>
                <w:bCs/>
                <w:sz w:val="24"/>
                <w:szCs w:val="24"/>
                <w:u w:val="single"/>
              </w:rPr>
              <w:t xml:space="preserve">Objectif </w:t>
            </w:r>
            <w:r w:rsidR="00584659" w:rsidRPr="00250FDA">
              <w:rPr>
                <w:b/>
                <w:bCs/>
                <w:sz w:val="24"/>
                <w:szCs w:val="24"/>
                <w:u w:val="single"/>
              </w:rPr>
              <w:t>9</w:t>
            </w:r>
            <w:r w:rsidR="00584659" w:rsidRPr="008F4AD8">
              <w:rPr>
                <w:sz w:val="24"/>
                <w:szCs w:val="24"/>
              </w:rPr>
              <w:t xml:space="preserve"> : Création et mise en œuvre d’institutions financières et monétaire continentales clés</w:t>
            </w:r>
            <w:r w:rsidR="00584659">
              <w:rPr>
                <w:sz w:val="24"/>
                <w:szCs w:val="24"/>
              </w:rPr>
              <w:t> :</w:t>
            </w:r>
            <w:r w:rsidR="00584659" w:rsidRPr="008F4AD8">
              <w:rPr>
                <w:sz w:val="24"/>
                <w:szCs w:val="24"/>
              </w:rPr>
              <w:t>…………………</w:t>
            </w:r>
            <w:r w:rsidR="00584659">
              <w:rPr>
                <w:sz w:val="24"/>
                <w:szCs w:val="24"/>
              </w:rPr>
              <w:t>……………………………………………………</w:t>
            </w:r>
          </w:p>
          <w:p w:rsidR="00584659" w:rsidRPr="008F4AD8" w:rsidRDefault="00584659" w:rsidP="00543EC5">
            <w:pPr>
              <w:ind w:left="426"/>
              <w:rPr>
                <w:sz w:val="24"/>
                <w:szCs w:val="24"/>
              </w:rPr>
            </w:pPr>
            <w:r w:rsidRPr="00250FDA">
              <w:rPr>
                <w:b/>
                <w:bCs/>
                <w:sz w:val="24"/>
                <w:szCs w:val="24"/>
                <w:u w:val="single"/>
              </w:rPr>
              <w:t>Objectif 10</w:t>
            </w:r>
            <w:r w:rsidRPr="008F4AD8">
              <w:rPr>
                <w:sz w:val="24"/>
                <w:szCs w:val="24"/>
              </w:rPr>
              <w:t xml:space="preserve"> : Des infrastructures de classe mondiale dans toute l’Afrique</w:t>
            </w:r>
            <w:r>
              <w:rPr>
                <w:sz w:val="24"/>
                <w:szCs w:val="24"/>
              </w:rPr>
              <w:t>……</w:t>
            </w:r>
          </w:p>
          <w:p w:rsidR="00584659" w:rsidRPr="008F4AD8" w:rsidRDefault="00584659" w:rsidP="00543EC5">
            <w:pPr>
              <w:rPr>
                <w:b/>
                <w:bCs/>
                <w:sz w:val="24"/>
                <w:szCs w:val="24"/>
              </w:rPr>
            </w:pPr>
            <w:r w:rsidRPr="008F4AD8">
              <w:rPr>
                <w:b/>
                <w:bCs/>
                <w:sz w:val="24"/>
                <w:szCs w:val="24"/>
                <w:u w:val="single"/>
              </w:rPr>
              <w:t>ASPIRATION 3</w:t>
            </w:r>
            <w:r w:rsidRPr="008F4AD8">
              <w:rPr>
                <w:b/>
                <w:bCs/>
                <w:sz w:val="24"/>
                <w:szCs w:val="24"/>
              </w:rPr>
              <w:t> : UNE AFRIQUE DE LA BONNE GOUVERNANCE, DE LA DEMOCRATIE, DU RESPECT DES DROITS DE L’HOMME ET DE L’ETAT DE DROIT</w:t>
            </w:r>
            <w:r>
              <w:rPr>
                <w:b/>
                <w:bCs/>
                <w:sz w:val="24"/>
                <w:szCs w:val="24"/>
              </w:rPr>
              <w:t> :</w:t>
            </w:r>
            <w:r w:rsidR="00E32BE3">
              <w:rPr>
                <w:b/>
                <w:bCs/>
                <w:sz w:val="24"/>
                <w:szCs w:val="24"/>
              </w:rPr>
              <w:t>.</w:t>
            </w:r>
          </w:p>
          <w:p w:rsidR="00584659" w:rsidRPr="008F4AD8" w:rsidRDefault="00584659" w:rsidP="00543EC5">
            <w:pPr>
              <w:ind w:left="459"/>
              <w:jc w:val="both"/>
              <w:rPr>
                <w:sz w:val="24"/>
                <w:szCs w:val="24"/>
              </w:rPr>
            </w:pPr>
            <w:r w:rsidRPr="00250FDA">
              <w:rPr>
                <w:b/>
                <w:bCs/>
                <w:sz w:val="24"/>
                <w:szCs w:val="24"/>
                <w:u w:val="single"/>
              </w:rPr>
              <w:t>Objectif 11</w:t>
            </w:r>
            <w:r w:rsidRPr="008F4AD8">
              <w:rPr>
                <w:sz w:val="24"/>
                <w:szCs w:val="24"/>
              </w:rPr>
              <w:t xml:space="preserve"> : enracinement des valeurs, des pratiques démocratiques des principes universels des droits de l’homme, de la justice et de l’Etat de droit</w:t>
            </w:r>
            <w:r>
              <w:rPr>
                <w:sz w:val="24"/>
                <w:szCs w:val="24"/>
              </w:rPr>
              <w:t> :……………………………………………………………………………………………………………</w:t>
            </w:r>
          </w:p>
          <w:p w:rsidR="00175D40" w:rsidRPr="00175D40" w:rsidRDefault="00175D40" w:rsidP="00543EC5">
            <w:pPr>
              <w:rPr>
                <w:b/>
                <w:bCs/>
                <w:sz w:val="10"/>
                <w:szCs w:val="10"/>
                <w:u w:val="single"/>
              </w:rPr>
            </w:pPr>
          </w:p>
          <w:p w:rsidR="00584659" w:rsidRPr="00FD1E91" w:rsidRDefault="00584659" w:rsidP="00543EC5">
            <w:pPr>
              <w:rPr>
                <w:b/>
                <w:bCs/>
                <w:sz w:val="24"/>
                <w:szCs w:val="24"/>
              </w:rPr>
            </w:pPr>
            <w:r w:rsidRPr="00FD1E91">
              <w:rPr>
                <w:b/>
                <w:bCs/>
                <w:sz w:val="24"/>
                <w:szCs w:val="24"/>
                <w:u w:val="single"/>
              </w:rPr>
              <w:t>ASPIRATION 4</w:t>
            </w:r>
            <w:r w:rsidRPr="00FD1E91">
              <w:rPr>
                <w:b/>
                <w:bCs/>
                <w:sz w:val="24"/>
                <w:szCs w:val="24"/>
              </w:rPr>
              <w:t> : UNE AFRIQUE EN PAIX ET SUR</w:t>
            </w:r>
            <w:r>
              <w:rPr>
                <w:b/>
                <w:bCs/>
                <w:sz w:val="24"/>
                <w:szCs w:val="24"/>
              </w:rPr>
              <w:t> :</w:t>
            </w:r>
            <w:r w:rsidRPr="00FD1E91">
              <w:rPr>
                <w:b/>
                <w:bCs/>
                <w:sz w:val="24"/>
                <w:szCs w:val="24"/>
              </w:rPr>
              <w:t>…………</w:t>
            </w:r>
            <w:r>
              <w:rPr>
                <w:b/>
                <w:bCs/>
                <w:sz w:val="24"/>
                <w:szCs w:val="24"/>
              </w:rPr>
              <w:t>……………………………………</w:t>
            </w:r>
          </w:p>
          <w:p w:rsidR="00584659" w:rsidRPr="008F4AD8" w:rsidRDefault="00584659" w:rsidP="00543EC5">
            <w:pPr>
              <w:ind w:left="426"/>
              <w:rPr>
                <w:sz w:val="24"/>
                <w:szCs w:val="24"/>
              </w:rPr>
            </w:pPr>
            <w:r w:rsidRPr="00250FDA">
              <w:rPr>
                <w:b/>
                <w:bCs/>
                <w:sz w:val="24"/>
                <w:szCs w:val="24"/>
                <w:u w:val="single"/>
              </w:rPr>
              <w:t>Objectif 13</w:t>
            </w:r>
            <w:r w:rsidRPr="00FD1E91">
              <w:rPr>
                <w:b/>
                <w:bCs/>
                <w:sz w:val="24"/>
                <w:szCs w:val="24"/>
              </w:rPr>
              <w:t xml:space="preserve"> :</w:t>
            </w:r>
            <w:r w:rsidRPr="008F4AD8">
              <w:rPr>
                <w:sz w:val="24"/>
                <w:szCs w:val="24"/>
              </w:rPr>
              <w:t xml:space="preserve"> Préservation de la paix, de la sécurité et de la stabilité</w:t>
            </w:r>
            <w:r>
              <w:rPr>
                <w:sz w:val="24"/>
                <w:szCs w:val="24"/>
              </w:rPr>
              <w:t> :…………</w:t>
            </w:r>
          </w:p>
          <w:p w:rsidR="00175D40" w:rsidRDefault="00175D40" w:rsidP="00543EC5">
            <w:pPr>
              <w:ind w:left="426"/>
              <w:rPr>
                <w:b/>
                <w:bCs/>
                <w:sz w:val="24"/>
                <w:szCs w:val="24"/>
                <w:u w:val="single"/>
              </w:rPr>
            </w:pPr>
          </w:p>
          <w:p w:rsidR="00584659" w:rsidRPr="008F4AD8" w:rsidRDefault="00584659" w:rsidP="00543EC5">
            <w:pPr>
              <w:ind w:left="426"/>
              <w:rPr>
                <w:sz w:val="24"/>
                <w:szCs w:val="24"/>
              </w:rPr>
            </w:pPr>
            <w:r w:rsidRPr="00250FDA">
              <w:rPr>
                <w:b/>
                <w:bCs/>
                <w:sz w:val="24"/>
                <w:szCs w:val="24"/>
                <w:u w:val="single"/>
              </w:rPr>
              <w:t>Objectif 14</w:t>
            </w:r>
            <w:r w:rsidRPr="00FD1E91">
              <w:rPr>
                <w:b/>
                <w:bCs/>
                <w:sz w:val="24"/>
                <w:szCs w:val="24"/>
              </w:rPr>
              <w:t xml:space="preserve"> </w:t>
            </w:r>
            <w:r w:rsidRPr="008F4AD8">
              <w:rPr>
                <w:sz w:val="24"/>
                <w:szCs w:val="24"/>
              </w:rPr>
              <w:t>: Une Afrique stable et en paix</w:t>
            </w:r>
            <w:r>
              <w:rPr>
                <w:sz w:val="24"/>
                <w:szCs w:val="24"/>
              </w:rPr>
              <w:t> :………………………………………………….</w:t>
            </w:r>
          </w:p>
          <w:p w:rsidR="00584659" w:rsidRPr="008F4AD8" w:rsidRDefault="00584659" w:rsidP="00543EC5">
            <w:pPr>
              <w:ind w:left="426"/>
              <w:rPr>
                <w:sz w:val="24"/>
                <w:szCs w:val="24"/>
              </w:rPr>
            </w:pPr>
            <w:r w:rsidRPr="00250FDA">
              <w:rPr>
                <w:b/>
                <w:bCs/>
                <w:sz w:val="24"/>
                <w:szCs w:val="24"/>
                <w:u w:val="single"/>
              </w:rPr>
              <w:t>Objectif 15</w:t>
            </w:r>
            <w:r w:rsidRPr="00FD1E91">
              <w:rPr>
                <w:b/>
                <w:bCs/>
                <w:sz w:val="24"/>
                <w:szCs w:val="24"/>
              </w:rPr>
              <w:t xml:space="preserve"> :</w:t>
            </w:r>
            <w:r w:rsidRPr="008F4AD8">
              <w:rPr>
                <w:sz w:val="24"/>
                <w:szCs w:val="24"/>
              </w:rPr>
              <w:t xml:space="preserve"> Une architecture africaine de paix et de sécurité pleinement fonctionnelle et opérationnelle</w:t>
            </w:r>
            <w:r>
              <w:rPr>
                <w:sz w:val="24"/>
                <w:szCs w:val="24"/>
              </w:rPr>
              <w:t> :</w:t>
            </w:r>
            <w:r w:rsidRPr="008F4AD8">
              <w:rPr>
                <w:sz w:val="24"/>
                <w:szCs w:val="24"/>
              </w:rPr>
              <w:t>………</w:t>
            </w:r>
            <w:r>
              <w:rPr>
                <w:sz w:val="24"/>
                <w:szCs w:val="24"/>
              </w:rPr>
              <w:t>…………………………………………………………</w:t>
            </w:r>
          </w:p>
          <w:p w:rsidR="00584659" w:rsidRPr="00FD1E91" w:rsidRDefault="00584659" w:rsidP="00543EC5">
            <w:pPr>
              <w:rPr>
                <w:b/>
                <w:bCs/>
                <w:sz w:val="24"/>
                <w:szCs w:val="24"/>
              </w:rPr>
            </w:pPr>
            <w:r w:rsidRPr="00175D40">
              <w:rPr>
                <w:b/>
                <w:bCs/>
                <w:sz w:val="24"/>
                <w:szCs w:val="24"/>
                <w:u w:val="single"/>
              </w:rPr>
              <w:t>ASPIRATION 5 </w:t>
            </w:r>
            <w:r w:rsidRPr="00FD1E91">
              <w:rPr>
                <w:b/>
                <w:bCs/>
                <w:sz w:val="24"/>
                <w:szCs w:val="24"/>
              </w:rPr>
              <w:t>: UNE AFRIQUE A IDENTITE CULTURELLE FORTE, AYANT DES VALEURS, UNE ETHIQUE ET UN PATRIMOINE COMMUNS</w:t>
            </w:r>
            <w:r>
              <w:rPr>
                <w:b/>
                <w:bCs/>
                <w:sz w:val="24"/>
                <w:szCs w:val="24"/>
              </w:rPr>
              <w:t> :……………………………</w:t>
            </w:r>
          </w:p>
          <w:p w:rsidR="00584659" w:rsidRPr="00E32BE3" w:rsidRDefault="00584659" w:rsidP="00543EC5">
            <w:pPr>
              <w:ind w:left="426"/>
              <w:jc w:val="both"/>
              <w:rPr>
                <w:sz w:val="24"/>
                <w:szCs w:val="24"/>
              </w:rPr>
            </w:pPr>
            <w:r w:rsidRPr="00250FDA">
              <w:rPr>
                <w:b/>
                <w:bCs/>
                <w:sz w:val="24"/>
                <w:szCs w:val="24"/>
                <w:u w:val="single"/>
              </w:rPr>
              <w:t>Objectif 16</w:t>
            </w:r>
            <w:r w:rsidRPr="00E32BE3">
              <w:rPr>
                <w:sz w:val="24"/>
                <w:szCs w:val="24"/>
              </w:rPr>
              <w:t xml:space="preserve"> : Grande importance accordée à la renaissance culturelle africaine :……………………………………………………………………………………………………..</w:t>
            </w:r>
          </w:p>
          <w:p w:rsidR="00584659" w:rsidRPr="00FD1E91" w:rsidRDefault="00584659" w:rsidP="00543EC5">
            <w:pPr>
              <w:rPr>
                <w:b/>
                <w:bCs/>
                <w:sz w:val="24"/>
                <w:szCs w:val="24"/>
              </w:rPr>
            </w:pPr>
            <w:r w:rsidRPr="00FD1E91">
              <w:rPr>
                <w:b/>
                <w:bCs/>
                <w:sz w:val="24"/>
                <w:szCs w:val="24"/>
                <w:u w:val="single"/>
              </w:rPr>
              <w:t>ASPIRATION 6</w:t>
            </w:r>
            <w:r w:rsidRPr="00FD1E91">
              <w:rPr>
                <w:b/>
                <w:bCs/>
                <w:sz w:val="24"/>
                <w:szCs w:val="24"/>
              </w:rPr>
              <w:t> : UNE AFRIQUE DONT LE DEVELOPPEMENT EST AXE SUR SES CITOYENS, PUISANT DANS LE POTENTIEL DE SES POPULATIONS</w:t>
            </w:r>
            <w:r>
              <w:rPr>
                <w:b/>
                <w:bCs/>
                <w:sz w:val="24"/>
                <w:szCs w:val="24"/>
              </w:rPr>
              <w:t> :……………………</w:t>
            </w:r>
          </w:p>
          <w:p w:rsidR="00584659" w:rsidRPr="008F4AD8" w:rsidRDefault="00584659" w:rsidP="00543EC5">
            <w:pPr>
              <w:ind w:left="459"/>
              <w:rPr>
                <w:sz w:val="24"/>
                <w:szCs w:val="24"/>
              </w:rPr>
            </w:pPr>
            <w:r w:rsidRPr="00250FDA">
              <w:rPr>
                <w:b/>
                <w:bCs/>
                <w:sz w:val="24"/>
                <w:szCs w:val="24"/>
                <w:u w:val="single"/>
              </w:rPr>
              <w:t>Objectif 17</w:t>
            </w:r>
            <w:r w:rsidRPr="00FD1E91">
              <w:rPr>
                <w:b/>
                <w:bCs/>
                <w:sz w:val="24"/>
                <w:szCs w:val="24"/>
              </w:rPr>
              <w:t xml:space="preserve"> : </w:t>
            </w:r>
            <w:r w:rsidRPr="008F4AD8">
              <w:rPr>
                <w:sz w:val="24"/>
                <w:szCs w:val="24"/>
              </w:rPr>
              <w:t>Egalite totale entre les hommes et les femmes dons tous les domaines de la vie</w:t>
            </w:r>
            <w:r>
              <w:rPr>
                <w:sz w:val="24"/>
                <w:szCs w:val="24"/>
              </w:rPr>
              <w:t> :</w:t>
            </w:r>
            <w:r w:rsidRPr="008F4AD8">
              <w:rPr>
                <w:sz w:val="24"/>
                <w:szCs w:val="24"/>
              </w:rPr>
              <w:t>…………………………………………</w:t>
            </w:r>
            <w:r>
              <w:rPr>
                <w:sz w:val="24"/>
                <w:szCs w:val="24"/>
              </w:rPr>
              <w:t>……………………………………………</w:t>
            </w:r>
          </w:p>
          <w:p w:rsidR="00584659" w:rsidRPr="008F4AD8" w:rsidRDefault="00584659" w:rsidP="00543EC5">
            <w:pPr>
              <w:ind w:left="459"/>
              <w:rPr>
                <w:sz w:val="24"/>
                <w:szCs w:val="24"/>
              </w:rPr>
            </w:pPr>
            <w:r w:rsidRPr="00250FDA">
              <w:rPr>
                <w:b/>
                <w:bCs/>
                <w:sz w:val="24"/>
                <w:szCs w:val="24"/>
                <w:u w:val="single"/>
              </w:rPr>
              <w:t>Objectif 18</w:t>
            </w:r>
            <w:r w:rsidRPr="00FD1E91">
              <w:rPr>
                <w:b/>
                <w:bCs/>
                <w:sz w:val="24"/>
                <w:szCs w:val="24"/>
              </w:rPr>
              <w:t>:</w:t>
            </w:r>
            <w:r w:rsidRPr="008F4AD8">
              <w:rPr>
                <w:sz w:val="24"/>
                <w:szCs w:val="24"/>
              </w:rPr>
              <w:t xml:space="preserve"> Engagement et autonomisation des jeunes et droits des enfants</w:t>
            </w:r>
            <w:r>
              <w:rPr>
                <w:sz w:val="24"/>
                <w:szCs w:val="24"/>
              </w:rPr>
              <w:t>. :………………………………………………………………………………………………………</w:t>
            </w:r>
          </w:p>
          <w:p w:rsidR="00584659" w:rsidRPr="00FD1E91" w:rsidRDefault="00584659" w:rsidP="00543EC5">
            <w:pPr>
              <w:rPr>
                <w:b/>
                <w:bCs/>
                <w:sz w:val="24"/>
                <w:szCs w:val="24"/>
              </w:rPr>
            </w:pPr>
            <w:r w:rsidRPr="00FD1E91">
              <w:rPr>
                <w:b/>
                <w:bCs/>
                <w:sz w:val="24"/>
                <w:szCs w:val="24"/>
                <w:u w:val="single"/>
              </w:rPr>
              <w:t>ASPIRATION 7</w:t>
            </w:r>
            <w:r w:rsidRPr="00FD1E91">
              <w:rPr>
                <w:b/>
                <w:bCs/>
                <w:sz w:val="24"/>
                <w:szCs w:val="24"/>
              </w:rPr>
              <w:t> : UNE AFRIQUE, EN TANT QUE PARTENAIRE FORT ET INFLUENT DANS LE MONDE</w:t>
            </w:r>
            <w:r>
              <w:rPr>
                <w:b/>
                <w:bCs/>
                <w:sz w:val="24"/>
                <w:szCs w:val="24"/>
              </w:rPr>
              <w:t> :</w:t>
            </w:r>
            <w:r w:rsidRPr="00FD1E91">
              <w:rPr>
                <w:b/>
                <w:bCs/>
                <w:sz w:val="24"/>
                <w:szCs w:val="24"/>
              </w:rPr>
              <w:t>…………………………………………………………………………………</w:t>
            </w:r>
            <w:r>
              <w:rPr>
                <w:b/>
                <w:bCs/>
                <w:sz w:val="24"/>
                <w:szCs w:val="24"/>
              </w:rPr>
              <w:t>…………</w:t>
            </w:r>
          </w:p>
          <w:p w:rsidR="00584659" w:rsidRPr="008F4AD8" w:rsidRDefault="00584659" w:rsidP="00543EC5">
            <w:pPr>
              <w:ind w:left="459"/>
              <w:rPr>
                <w:sz w:val="24"/>
                <w:szCs w:val="24"/>
              </w:rPr>
            </w:pPr>
            <w:r w:rsidRPr="00250FDA">
              <w:rPr>
                <w:b/>
                <w:bCs/>
                <w:sz w:val="24"/>
                <w:szCs w:val="24"/>
                <w:u w:val="single"/>
              </w:rPr>
              <w:t>Objectif 19</w:t>
            </w:r>
            <w:r w:rsidRPr="008F4AD8">
              <w:rPr>
                <w:sz w:val="24"/>
                <w:szCs w:val="24"/>
              </w:rPr>
              <w:t xml:space="preserve"> : L’Afrique en tant que partenaire majeur dans les affaires et la coexistence pacifique au niveau mondial</w:t>
            </w:r>
            <w:r>
              <w:rPr>
                <w:sz w:val="24"/>
                <w:szCs w:val="24"/>
              </w:rPr>
              <w:t> :</w:t>
            </w:r>
            <w:r w:rsidRPr="008F4AD8">
              <w:rPr>
                <w:sz w:val="24"/>
                <w:szCs w:val="24"/>
              </w:rPr>
              <w:t>……</w:t>
            </w:r>
            <w:r>
              <w:rPr>
                <w:sz w:val="24"/>
                <w:szCs w:val="24"/>
              </w:rPr>
              <w:t>………………………………………………</w:t>
            </w:r>
          </w:p>
          <w:p w:rsidR="00584659" w:rsidRPr="008F4AD8" w:rsidRDefault="00584659" w:rsidP="00543EC5">
            <w:pPr>
              <w:ind w:left="459"/>
              <w:rPr>
                <w:sz w:val="24"/>
                <w:szCs w:val="24"/>
              </w:rPr>
            </w:pPr>
            <w:r w:rsidRPr="00250FDA">
              <w:rPr>
                <w:b/>
                <w:bCs/>
                <w:sz w:val="24"/>
                <w:szCs w:val="24"/>
                <w:u w:val="single"/>
              </w:rPr>
              <w:t>Objectif 20</w:t>
            </w:r>
            <w:r w:rsidRPr="008F4AD8">
              <w:rPr>
                <w:sz w:val="24"/>
                <w:szCs w:val="24"/>
              </w:rPr>
              <w:t xml:space="preserve"> : l’Afrique assume l’entière responsabilité du financement de son développement</w:t>
            </w:r>
            <w:r>
              <w:rPr>
                <w:sz w:val="24"/>
                <w:szCs w:val="24"/>
              </w:rPr>
              <w:t> :</w:t>
            </w:r>
            <w:r w:rsidRPr="008F4AD8">
              <w:rPr>
                <w:sz w:val="24"/>
                <w:szCs w:val="24"/>
              </w:rPr>
              <w:t>………</w:t>
            </w:r>
            <w:r>
              <w:rPr>
                <w:sz w:val="24"/>
                <w:szCs w:val="24"/>
              </w:rPr>
              <w:t>……………………………………………………………………………</w:t>
            </w:r>
          </w:p>
          <w:p w:rsidR="00584659" w:rsidRPr="00E32BE3" w:rsidRDefault="00E32BE3" w:rsidP="00E32BE3">
            <w:pPr>
              <w:rPr>
                <w:b/>
                <w:bCs/>
                <w:sz w:val="24"/>
                <w:szCs w:val="24"/>
              </w:rPr>
            </w:pPr>
            <w:r w:rsidRPr="00E32BE3">
              <w:rPr>
                <w:b/>
                <w:bCs/>
                <w:sz w:val="24"/>
                <w:szCs w:val="24"/>
              </w:rPr>
              <w:t>-RECOMMANDATIONS</w:t>
            </w:r>
            <w:r w:rsidR="00175D40">
              <w:rPr>
                <w:b/>
                <w:bCs/>
                <w:sz w:val="24"/>
                <w:szCs w:val="24"/>
              </w:rPr>
              <w:t>……………………………………………………………………………………</w:t>
            </w:r>
          </w:p>
          <w:p w:rsidR="00584659" w:rsidRDefault="00584659" w:rsidP="00543EC5">
            <w:pPr>
              <w:rPr>
                <w:b/>
                <w:bCs/>
                <w:sz w:val="24"/>
                <w:szCs w:val="24"/>
              </w:rPr>
            </w:pPr>
            <w:r w:rsidRPr="00FD1E91">
              <w:rPr>
                <w:b/>
                <w:bCs/>
                <w:sz w:val="24"/>
                <w:szCs w:val="24"/>
              </w:rPr>
              <w:t>-PRINCIPLE LECONS APPRISES</w:t>
            </w:r>
            <w:r>
              <w:rPr>
                <w:b/>
                <w:bCs/>
                <w:sz w:val="24"/>
                <w:szCs w:val="24"/>
              </w:rPr>
              <w:t> :</w:t>
            </w:r>
            <w:r w:rsidRPr="00FD1E91">
              <w:rPr>
                <w:b/>
                <w:bCs/>
                <w:sz w:val="24"/>
                <w:szCs w:val="24"/>
              </w:rPr>
              <w:t>…</w:t>
            </w:r>
            <w:r>
              <w:rPr>
                <w:b/>
                <w:bCs/>
                <w:sz w:val="24"/>
                <w:szCs w:val="24"/>
              </w:rPr>
              <w:t>……………………………………………………………………</w:t>
            </w:r>
          </w:p>
          <w:p w:rsidR="00584659" w:rsidRDefault="00584659" w:rsidP="00543EC5">
            <w:pPr>
              <w:rPr>
                <w:b/>
                <w:bCs/>
                <w:sz w:val="24"/>
                <w:szCs w:val="24"/>
              </w:rPr>
            </w:pPr>
            <w:r>
              <w:rPr>
                <w:b/>
                <w:bCs/>
                <w:sz w:val="24"/>
                <w:szCs w:val="24"/>
              </w:rPr>
              <w:t>-</w:t>
            </w:r>
            <w:r w:rsidRPr="00FD1E91">
              <w:rPr>
                <w:b/>
                <w:bCs/>
                <w:sz w:val="24"/>
                <w:szCs w:val="24"/>
              </w:rPr>
              <w:t>CONCLUSION</w:t>
            </w:r>
            <w:r>
              <w:rPr>
                <w:b/>
                <w:bCs/>
                <w:sz w:val="24"/>
                <w:szCs w:val="24"/>
              </w:rPr>
              <w:t> :</w:t>
            </w:r>
            <w:r w:rsidRPr="00FD1E91">
              <w:rPr>
                <w:b/>
                <w:bCs/>
                <w:sz w:val="24"/>
                <w:szCs w:val="24"/>
              </w:rPr>
              <w:t>………………………………………………………………………………………………</w:t>
            </w:r>
          </w:p>
          <w:p w:rsidR="00584659" w:rsidRDefault="00584659" w:rsidP="00543EC5">
            <w:r w:rsidRPr="00FD1E91">
              <w:rPr>
                <w:b/>
                <w:bCs/>
                <w:sz w:val="24"/>
                <w:szCs w:val="24"/>
              </w:rPr>
              <w:t>-ANNEXES / Tableau de Bord de l’Algérie :………………………………………………………</w:t>
            </w:r>
          </w:p>
        </w:tc>
        <w:tc>
          <w:tcPr>
            <w:tcW w:w="851" w:type="dxa"/>
          </w:tcPr>
          <w:p w:rsidR="00584659" w:rsidRDefault="00584659" w:rsidP="00543EC5"/>
          <w:p w:rsidR="00932A74" w:rsidRPr="00932A74" w:rsidRDefault="00932A74" w:rsidP="00543EC5">
            <w:pPr>
              <w:rPr>
                <w:sz w:val="16"/>
                <w:szCs w:val="16"/>
              </w:rPr>
            </w:pPr>
          </w:p>
          <w:p w:rsidR="00932A74" w:rsidRPr="00932A74" w:rsidRDefault="00932A74" w:rsidP="00543EC5">
            <w:pPr>
              <w:rPr>
                <w:b/>
                <w:bCs/>
                <w:sz w:val="2"/>
                <w:szCs w:val="2"/>
              </w:rPr>
            </w:pPr>
          </w:p>
          <w:p w:rsidR="00584659" w:rsidRPr="00932A74" w:rsidRDefault="00584659" w:rsidP="00175D40">
            <w:pPr>
              <w:rPr>
                <w:b/>
                <w:bCs/>
              </w:rPr>
            </w:pPr>
            <w:r w:rsidRPr="00932A74">
              <w:rPr>
                <w:b/>
                <w:bCs/>
              </w:rPr>
              <w:t>5</w:t>
            </w:r>
          </w:p>
          <w:p w:rsidR="00584659" w:rsidRPr="00932A74" w:rsidRDefault="00175D40" w:rsidP="00543EC5">
            <w:pPr>
              <w:rPr>
                <w:b/>
                <w:bCs/>
              </w:rPr>
            </w:pPr>
            <w:r>
              <w:rPr>
                <w:b/>
                <w:bCs/>
              </w:rPr>
              <w:t>13</w:t>
            </w:r>
          </w:p>
          <w:p w:rsidR="00584659" w:rsidRPr="00175D40" w:rsidRDefault="00584659" w:rsidP="00543EC5">
            <w:pPr>
              <w:rPr>
                <w:b/>
                <w:bCs/>
                <w:sz w:val="16"/>
                <w:szCs w:val="16"/>
              </w:rPr>
            </w:pPr>
          </w:p>
          <w:p w:rsidR="00584659" w:rsidRPr="00932A74" w:rsidRDefault="00175D40" w:rsidP="00543EC5">
            <w:pPr>
              <w:rPr>
                <w:b/>
                <w:bCs/>
              </w:rPr>
            </w:pPr>
            <w:r>
              <w:rPr>
                <w:b/>
                <w:bCs/>
              </w:rPr>
              <w:t>13</w:t>
            </w:r>
          </w:p>
          <w:p w:rsidR="00584659" w:rsidRPr="00175D40" w:rsidRDefault="00584659" w:rsidP="00543EC5">
            <w:pPr>
              <w:rPr>
                <w:b/>
                <w:bCs/>
                <w:sz w:val="14"/>
                <w:szCs w:val="14"/>
              </w:rPr>
            </w:pPr>
          </w:p>
          <w:p w:rsidR="00584659" w:rsidRDefault="00175D40" w:rsidP="00543EC5">
            <w:pPr>
              <w:rPr>
                <w:b/>
                <w:bCs/>
              </w:rPr>
            </w:pPr>
            <w:r>
              <w:rPr>
                <w:b/>
                <w:bCs/>
              </w:rPr>
              <w:t>13</w:t>
            </w:r>
          </w:p>
          <w:p w:rsidR="00175D40" w:rsidRPr="00175D40" w:rsidRDefault="00175D40" w:rsidP="00543EC5">
            <w:pPr>
              <w:rPr>
                <w:b/>
                <w:bCs/>
                <w:sz w:val="10"/>
                <w:szCs w:val="10"/>
              </w:rPr>
            </w:pPr>
          </w:p>
          <w:p w:rsidR="00175D40" w:rsidRPr="00932A74" w:rsidRDefault="00175D40" w:rsidP="00543EC5">
            <w:pPr>
              <w:rPr>
                <w:b/>
                <w:bCs/>
              </w:rPr>
            </w:pPr>
            <w:r>
              <w:rPr>
                <w:b/>
                <w:bCs/>
              </w:rPr>
              <w:t>16</w:t>
            </w:r>
          </w:p>
          <w:p w:rsidR="00584659" w:rsidRPr="00932A74" w:rsidRDefault="00175D40" w:rsidP="00543EC5">
            <w:pPr>
              <w:rPr>
                <w:b/>
                <w:bCs/>
              </w:rPr>
            </w:pPr>
            <w:r>
              <w:rPr>
                <w:b/>
                <w:bCs/>
              </w:rPr>
              <w:t>17</w:t>
            </w:r>
          </w:p>
          <w:p w:rsidR="00584659" w:rsidRPr="00932A74" w:rsidRDefault="00175D40" w:rsidP="00543EC5">
            <w:pPr>
              <w:rPr>
                <w:b/>
                <w:bCs/>
              </w:rPr>
            </w:pPr>
            <w:r>
              <w:rPr>
                <w:b/>
                <w:bCs/>
              </w:rPr>
              <w:t>18</w:t>
            </w:r>
          </w:p>
          <w:p w:rsidR="00584659" w:rsidRPr="00932A74" w:rsidRDefault="00584659" w:rsidP="00543EC5">
            <w:pPr>
              <w:rPr>
                <w:b/>
                <w:bCs/>
              </w:rPr>
            </w:pPr>
          </w:p>
          <w:p w:rsidR="00584659" w:rsidRPr="00932A74" w:rsidRDefault="00175D40" w:rsidP="00543EC5">
            <w:pPr>
              <w:rPr>
                <w:b/>
                <w:bCs/>
              </w:rPr>
            </w:pPr>
            <w:r>
              <w:rPr>
                <w:b/>
                <w:bCs/>
              </w:rPr>
              <w:t>23</w:t>
            </w:r>
          </w:p>
          <w:p w:rsidR="00584659" w:rsidRPr="00175D40" w:rsidRDefault="00584659" w:rsidP="00543EC5">
            <w:pPr>
              <w:rPr>
                <w:b/>
                <w:bCs/>
                <w:sz w:val="16"/>
                <w:szCs w:val="16"/>
              </w:rPr>
            </w:pPr>
          </w:p>
          <w:p w:rsidR="00584659" w:rsidRPr="00932A74" w:rsidRDefault="00175D40" w:rsidP="00543EC5">
            <w:pPr>
              <w:rPr>
                <w:b/>
                <w:bCs/>
              </w:rPr>
            </w:pPr>
            <w:r>
              <w:rPr>
                <w:b/>
                <w:bCs/>
              </w:rPr>
              <w:t>25</w:t>
            </w:r>
          </w:p>
          <w:p w:rsidR="00584659" w:rsidRPr="00175D40" w:rsidRDefault="00584659" w:rsidP="00543EC5">
            <w:pPr>
              <w:rPr>
                <w:b/>
                <w:bCs/>
                <w:sz w:val="14"/>
                <w:szCs w:val="14"/>
              </w:rPr>
            </w:pPr>
          </w:p>
          <w:p w:rsidR="00584659" w:rsidRPr="00932A74" w:rsidRDefault="00175D40" w:rsidP="00543EC5">
            <w:pPr>
              <w:rPr>
                <w:b/>
                <w:bCs/>
              </w:rPr>
            </w:pPr>
            <w:r>
              <w:rPr>
                <w:b/>
                <w:bCs/>
              </w:rPr>
              <w:t>26</w:t>
            </w:r>
          </w:p>
          <w:p w:rsidR="00584659" w:rsidRDefault="00584659" w:rsidP="00543EC5">
            <w:pPr>
              <w:rPr>
                <w:b/>
                <w:bCs/>
                <w:sz w:val="12"/>
                <w:szCs w:val="12"/>
              </w:rPr>
            </w:pPr>
          </w:p>
          <w:p w:rsidR="00175D40" w:rsidRDefault="00175D40" w:rsidP="00543EC5">
            <w:pPr>
              <w:rPr>
                <w:b/>
                <w:bCs/>
                <w:sz w:val="12"/>
                <w:szCs w:val="12"/>
              </w:rPr>
            </w:pPr>
          </w:p>
          <w:p w:rsidR="00175D40" w:rsidRPr="00932A74" w:rsidRDefault="00175D40" w:rsidP="00543EC5">
            <w:pPr>
              <w:rPr>
                <w:b/>
                <w:bCs/>
              </w:rPr>
            </w:pPr>
            <w:r>
              <w:rPr>
                <w:b/>
                <w:bCs/>
              </w:rPr>
              <w:t>29</w:t>
            </w:r>
          </w:p>
          <w:p w:rsidR="00584659" w:rsidRDefault="00175D40" w:rsidP="00543EC5">
            <w:pPr>
              <w:rPr>
                <w:b/>
                <w:bCs/>
              </w:rPr>
            </w:pPr>
            <w:r>
              <w:rPr>
                <w:b/>
                <w:bCs/>
              </w:rPr>
              <w:t>29</w:t>
            </w:r>
          </w:p>
          <w:p w:rsidR="00175D40" w:rsidRPr="00175D40" w:rsidRDefault="00175D40" w:rsidP="00543EC5">
            <w:pPr>
              <w:rPr>
                <w:b/>
                <w:bCs/>
                <w:sz w:val="14"/>
                <w:szCs w:val="14"/>
              </w:rPr>
            </w:pPr>
          </w:p>
          <w:p w:rsidR="00584659" w:rsidRPr="00932A74" w:rsidRDefault="00175D40" w:rsidP="00543EC5">
            <w:pPr>
              <w:rPr>
                <w:b/>
                <w:bCs/>
              </w:rPr>
            </w:pPr>
            <w:r>
              <w:rPr>
                <w:b/>
                <w:bCs/>
              </w:rPr>
              <w:t>30</w:t>
            </w:r>
          </w:p>
          <w:p w:rsidR="00584659" w:rsidRPr="00932A74" w:rsidRDefault="00175D40" w:rsidP="00543EC5">
            <w:pPr>
              <w:rPr>
                <w:b/>
                <w:bCs/>
              </w:rPr>
            </w:pPr>
            <w:r>
              <w:rPr>
                <w:b/>
                <w:bCs/>
              </w:rPr>
              <w:t>30</w:t>
            </w:r>
          </w:p>
          <w:p w:rsidR="00584659" w:rsidRPr="00175D40" w:rsidRDefault="00584659" w:rsidP="00543EC5">
            <w:pPr>
              <w:rPr>
                <w:b/>
                <w:bCs/>
                <w:sz w:val="14"/>
                <w:szCs w:val="14"/>
              </w:rPr>
            </w:pPr>
          </w:p>
          <w:p w:rsidR="00584659" w:rsidRDefault="00175D40" w:rsidP="00543EC5">
            <w:pPr>
              <w:rPr>
                <w:b/>
                <w:bCs/>
              </w:rPr>
            </w:pPr>
            <w:r>
              <w:rPr>
                <w:b/>
                <w:bCs/>
              </w:rPr>
              <w:t>32</w:t>
            </w:r>
          </w:p>
          <w:p w:rsidR="00175D40" w:rsidRPr="00175D40" w:rsidRDefault="00175D40" w:rsidP="00543EC5">
            <w:pPr>
              <w:rPr>
                <w:b/>
                <w:bCs/>
                <w:sz w:val="4"/>
                <w:szCs w:val="4"/>
              </w:rPr>
            </w:pPr>
          </w:p>
          <w:p w:rsidR="00175D40" w:rsidRDefault="00175D40" w:rsidP="00543EC5">
            <w:pPr>
              <w:rPr>
                <w:b/>
                <w:bCs/>
              </w:rPr>
            </w:pPr>
          </w:p>
          <w:p w:rsidR="00175D40" w:rsidRDefault="00175D40" w:rsidP="00543EC5">
            <w:pPr>
              <w:rPr>
                <w:b/>
                <w:bCs/>
              </w:rPr>
            </w:pPr>
            <w:r w:rsidRPr="00175D40">
              <w:rPr>
                <w:b/>
                <w:bCs/>
              </w:rPr>
              <w:t>32</w:t>
            </w:r>
          </w:p>
          <w:p w:rsidR="00175D40" w:rsidRPr="00175D40" w:rsidRDefault="00175D40" w:rsidP="00543EC5">
            <w:pPr>
              <w:rPr>
                <w:b/>
                <w:bCs/>
                <w:sz w:val="16"/>
                <w:szCs w:val="16"/>
              </w:rPr>
            </w:pPr>
          </w:p>
          <w:p w:rsidR="00175D40" w:rsidRDefault="00175D40" w:rsidP="00543EC5">
            <w:pPr>
              <w:rPr>
                <w:b/>
                <w:bCs/>
              </w:rPr>
            </w:pPr>
            <w:r>
              <w:rPr>
                <w:b/>
                <w:bCs/>
              </w:rPr>
              <w:t>33</w:t>
            </w:r>
          </w:p>
          <w:p w:rsidR="00175D40" w:rsidRDefault="00175D40" w:rsidP="00543EC5">
            <w:pPr>
              <w:rPr>
                <w:b/>
                <w:bCs/>
              </w:rPr>
            </w:pPr>
            <w:r>
              <w:rPr>
                <w:b/>
                <w:bCs/>
              </w:rPr>
              <w:t>33</w:t>
            </w:r>
          </w:p>
          <w:p w:rsidR="00175D40" w:rsidRDefault="00175D40" w:rsidP="00543EC5">
            <w:pPr>
              <w:rPr>
                <w:b/>
                <w:bCs/>
                <w:sz w:val="14"/>
                <w:szCs w:val="14"/>
              </w:rPr>
            </w:pPr>
          </w:p>
          <w:p w:rsidR="00175D40" w:rsidRPr="00175D40" w:rsidRDefault="00175D40" w:rsidP="00543EC5">
            <w:pPr>
              <w:rPr>
                <w:b/>
                <w:bCs/>
                <w:sz w:val="10"/>
                <w:szCs w:val="10"/>
              </w:rPr>
            </w:pPr>
          </w:p>
          <w:p w:rsidR="00175D40" w:rsidRDefault="00175D40" w:rsidP="00543EC5">
            <w:pPr>
              <w:rPr>
                <w:sz w:val="8"/>
                <w:szCs w:val="8"/>
              </w:rPr>
            </w:pPr>
          </w:p>
          <w:p w:rsidR="00175D40" w:rsidRDefault="00175D40" w:rsidP="00543EC5">
            <w:pPr>
              <w:rPr>
                <w:b/>
                <w:bCs/>
              </w:rPr>
            </w:pPr>
            <w:r w:rsidRPr="00175D40">
              <w:rPr>
                <w:b/>
                <w:bCs/>
              </w:rPr>
              <w:t>33</w:t>
            </w:r>
          </w:p>
          <w:p w:rsidR="00175D40" w:rsidRPr="00175D40" w:rsidRDefault="00175D40" w:rsidP="00543EC5">
            <w:pPr>
              <w:rPr>
                <w:b/>
                <w:bCs/>
                <w:sz w:val="12"/>
                <w:szCs w:val="12"/>
              </w:rPr>
            </w:pPr>
          </w:p>
          <w:p w:rsidR="00175D40" w:rsidRDefault="00175D40" w:rsidP="00543EC5">
            <w:pPr>
              <w:rPr>
                <w:b/>
                <w:bCs/>
              </w:rPr>
            </w:pPr>
            <w:r>
              <w:rPr>
                <w:b/>
                <w:bCs/>
              </w:rPr>
              <w:t>33</w:t>
            </w:r>
          </w:p>
          <w:p w:rsidR="00175D40" w:rsidRPr="00175D40" w:rsidRDefault="00175D40" w:rsidP="00543EC5">
            <w:pPr>
              <w:rPr>
                <w:b/>
                <w:bCs/>
                <w:sz w:val="12"/>
                <w:szCs w:val="12"/>
              </w:rPr>
            </w:pPr>
          </w:p>
          <w:p w:rsidR="00175D40" w:rsidRDefault="00175D40" w:rsidP="00543EC5">
            <w:pPr>
              <w:rPr>
                <w:b/>
                <w:bCs/>
              </w:rPr>
            </w:pPr>
            <w:r>
              <w:rPr>
                <w:b/>
                <w:bCs/>
              </w:rPr>
              <w:t>35</w:t>
            </w:r>
          </w:p>
          <w:p w:rsidR="00175D40" w:rsidRPr="00175D40" w:rsidRDefault="00175D40" w:rsidP="00543EC5">
            <w:pPr>
              <w:rPr>
                <w:b/>
                <w:bCs/>
                <w:sz w:val="12"/>
                <w:szCs w:val="12"/>
              </w:rPr>
            </w:pPr>
          </w:p>
          <w:p w:rsidR="00175D40" w:rsidRDefault="00175D40" w:rsidP="00543EC5">
            <w:pPr>
              <w:rPr>
                <w:b/>
                <w:bCs/>
              </w:rPr>
            </w:pPr>
            <w:r w:rsidRPr="00175D40">
              <w:rPr>
                <w:b/>
                <w:bCs/>
              </w:rPr>
              <w:t>35</w:t>
            </w:r>
          </w:p>
          <w:p w:rsidR="00175D40" w:rsidRDefault="00175D40" w:rsidP="00543EC5">
            <w:pPr>
              <w:rPr>
                <w:b/>
                <w:bCs/>
              </w:rPr>
            </w:pPr>
          </w:p>
          <w:p w:rsidR="00175D40" w:rsidRDefault="00175D40" w:rsidP="00543EC5">
            <w:pPr>
              <w:rPr>
                <w:b/>
                <w:bCs/>
              </w:rPr>
            </w:pPr>
            <w:r>
              <w:rPr>
                <w:b/>
                <w:bCs/>
              </w:rPr>
              <w:t>36</w:t>
            </w:r>
          </w:p>
          <w:p w:rsidR="00175D40" w:rsidRPr="00175D40" w:rsidRDefault="00175D40" w:rsidP="00543EC5">
            <w:pPr>
              <w:rPr>
                <w:b/>
                <w:bCs/>
                <w:sz w:val="10"/>
                <w:szCs w:val="10"/>
              </w:rPr>
            </w:pPr>
          </w:p>
          <w:p w:rsidR="00175D40" w:rsidRDefault="00175D40" w:rsidP="00543EC5">
            <w:pPr>
              <w:rPr>
                <w:b/>
                <w:bCs/>
              </w:rPr>
            </w:pPr>
            <w:r w:rsidRPr="00175D40">
              <w:rPr>
                <w:b/>
                <w:bCs/>
              </w:rPr>
              <w:t>36</w:t>
            </w:r>
          </w:p>
          <w:p w:rsidR="00175D40" w:rsidRPr="00175D40" w:rsidRDefault="00175D40" w:rsidP="00543EC5">
            <w:pPr>
              <w:rPr>
                <w:b/>
                <w:bCs/>
                <w:sz w:val="14"/>
                <w:szCs w:val="14"/>
              </w:rPr>
            </w:pPr>
          </w:p>
          <w:p w:rsidR="00175D40" w:rsidRDefault="00175D40" w:rsidP="00543EC5">
            <w:pPr>
              <w:rPr>
                <w:b/>
                <w:bCs/>
              </w:rPr>
            </w:pPr>
            <w:r>
              <w:rPr>
                <w:b/>
                <w:bCs/>
              </w:rPr>
              <w:t>38</w:t>
            </w:r>
          </w:p>
          <w:p w:rsidR="00175D40" w:rsidRPr="00175D40" w:rsidRDefault="00175D40" w:rsidP="00543EC5">
            <w:pPr>
              <w:rPr>
                <w:b/>
                <w:bCs/>
                <w:sz w:val="10"/>
                <w:szCs w:val="10"/>
              </w:rPr>
            </w:pPr>
          </w:p>
          <w:p w:rsidR="00175D40" w:rsidRDefault="00175D40" w:rsidP="00543EC5">
            <w:pPr>
              <w:rPr>
                <w:b/>
                <w:bCs/>
              </w:rPr>
            </w:pPr>
            <w:r>
              <w:rPr>
                <w:b/>
                <w:bCs/>
              </w:rPr>
              <w:t>41</w:t>
            </w:r>
          </w:p>
          <w:p w:rsidR="00175D40" w:rsidRDefault="00175D40" w:rsidP="00543EC5">
            <w:pPr>
              <w:rPr>
                <w:b/>
                <w:bCs/>
              </w:rPr>
            </w:pPr>
          </w:p>
          <w:p w:rsidR="00175D40" w:rsidRDefault="00175D40" w:rsidP="00543EC5">
            <w:pPr>
              <w:rPr>
                <w:b/>
                <w:bCs/>
              </w:rPr>
            </w:pPr>
            <w:r>
              <w:rPr>
                <w:b/>
                <w:bCs/>
              </w:rPr>
              <w:t>41</w:t>
            </w:r>
          </w:p>
          <w:p w:rsidR="00175D40" w:rsidRDefault="00175D40" w:rsidP="00543EC5">
            <w:pPr>
              <w:rPr>
                <w:sz w:val="8"/>
                <w:szCs w:val="8"/>
              </w:rPr>
            </w:pPr>
          </w:p>
          <w:p w:rsidR="00175D40" w:rsidRPr="00175D40" w:rsidRDefault="00175D40" w:rsidP="00543EC5">
            <w:pPr>
              <w:rPr>
                <w:b/>
                <w:bCs/>
              </w:rPr>
            </w:pPr>
            <w:r w:rsidRPr="00175D40">
              <w:rPr>
                <w:b/>
                <w:bCs/>
              </w:rPr>
              <w:t>43</w:t>
            </w:r>
          </w:p>
          <w:p w:rsidR="00175D40" w:rsidRDefault="00175D40" w:rsidP="00543EC5">
            <w:pPr>
              <w:rPr>
                <w:b/>
                <w:bCs/>
              </w:rPr>
            </w:pPr>
            <w:r w:rsidRPr="00175D40">
              <w:rPr>
                <w:b/>
                <w:bCs/>
              </w:rPr>
              <w:t>45</w:t>
            </w:r>
          </w:p>
          <w:p w:rsidR="00175D40" w:rsidRDefault="00175D40" w:rsidP="00543EC5">
            <w:pPr>
              <w:rPr>
                <w:b/>
                <w:bCs/>
              </w:rPr>
            </w:pPr>
            <w:r>
              <w:rPr>
                <w:b/>
                <w:bCs/>
              </w:rPr>
              <w:t>47</w:t>
            </w:r>
          </w:p>
          <w:p w:rsidR="00175D40" w:rsidRDefault="00175D40" w:rsidP="00543EC5">
            <w:pPr>
              <w:rPr>
                <w:b/>
                <w:bCs/>
              </w:rPr>
            </w:pPr>
            <w:r>
              <w:rPr>
                <w:b/>
                <w:bCs/>
              </w:rPr>
              <w:t>48</w:t>
            </w:r>
          </w:p>
          <w:p w:rsidR="00175D40" w:rsidRPr="00175D40" w:rsidRDefault="00175D40" w:rsidP="00543EC5">
            <w:pPr>
              <w:rPr>
                <w:b/>
                <w:bCs/>
                <w:sz w:val="2"/>
                <w:szCs w:val="2"/>
              </w:rPr>
            </w:pPr>
          </w:p>
          <w:p w:rsidR="00175D40" w:rsidRDefault="00175D40" w:rsidP="00543EC5">
            <w:pPr>
              <w:rPr>
                <w:b/>
                <w:bCs/>
              </w:rPr>
            </w:pPr>
            <w:r>
              <w:rPr>
                <w:b/>
                <w:bCs/>
              </w:rPr>
              <w:t>50</w:t>
            </w:r>
          </w:p>
          <w:p w:rsidR="00175D40" w:rsidRPr="00175D40" w:rsidRDefault="00175D40" w:rsidP="00543EC5">
            <w:pPr>
              <w:rPr>
                <w:sz w:val="8"/>
                <w:szCs w:val="8"/>
              </w:rPr>
            </w:pPr>
          </w:p>
        </w:tc>
      </w:tr>
    </w:tbl>
    <w:p w:rsidR="00584659" w:rsidRDefault="00584659" w:rsidP="00584659">
      <w:pPr>
        <w:spacing w:after="0" w:line="240" w:lineRule="auto"/>
        <w:ind w:left="-540"/>
        <w:rPr>
          <w:b/>
          <w:bCs/>
          <w:sz w:val="24"/>
          <w:szCs w:val="24"/>
          <w:u w:val="single"/>
        </w:rPr>
      </w:pPr>
      <w:r>
        <w:rPr>
          <w:b/>
          <w:bCs/>
          <w:sz w:val="24"/>
          <w:szCs w:val="24"/>
          <w:u w:val="single"/>
        </w:rPr>
        <w:lastRenderedPageBreak/>
        <w:br w:type="page"/>
      </w:r>
    </w:p>
    <w:p w:rsidR="00F90333" w:rsidRDefault="00F90333" w:rsidP="00FD0B90">
      <w:pPr>
        <w:rPr>
          <w:b/>
          <w:bCs/>
          <w:sz w:val="2"/>
          <w:szCs w:val="2"/>
          <w:u w:val="single"/>
        </w:rPr>
      </w:pPr>
    </w:p>
    <w:p w:rsidR="00175D40" w:rsidRDefault="00175D40" w:rsidP="00FD0B90">
      <w:pPr>
        <w:rPr>
          <w:b/>
          <w:bCs/>
          <w:sz w:val="2"/>
          <w:szCs w:val="2"/>
          <w:u w:val="single"/>
        </w:rPr>
      </w:pPr>
    </w:p>
    <w:p w:rsidR="00175D40" w:rsidRDefault="00175D40" w:rsidP="00FD0B90">
      <w:pPr>
        <w:rPr>
          <w:b/>
          <w:bCs/>
          <w:sz w:val="2"/>
          <w:szCs w:val="2"/>
          <w:u w:val="single"/>
        </w:rPr>
      </w:pPr>
    </w:p>
    <w:p w:rsidR="00175D40" w:rsidRDefault="00175D40" w:rsidP="00FD0B90">
      <w:pPr>
        <w:rPr>
          <w:b/>
          <w:bCs/>
          <w:sz w:val="2"/>
          <w:szCs w:val="2"/>
          <w:u w:val="single"/>
        </w:rPr>
      </w:pPr>
    </w:p>
    <w:p w:rsidR="00175D40" w:rsidRDefault="00175D40" w:rsidP="00FD0B90">
      <w:pPr>
        <w:rPr>
          <w:b/>
          <w:bCs/>
          <w:sz w:val="2"/>
          <w:szCs w:val="2"/>
          <w:u w:val="single"/>
        </w:rPr>
      </w:pPr>
    </w:p>
    <w:p w:rsidR="00175D40" w:rsidRPr="00F90333" w:rsidRDefault="00175D40" w:rsidP="00FD0B90">
      <w:pPr>
        <w:rPr>
          <w:b/>
          <w:bCs/>
          <w:sz w:val="2"/>
          <w:szCs w:val="2"/>
          <w:u w:val="single"/>
        </w:rPr>
      </w:pPr>
    </w:p>
    <w:p w:rsidR="00841309" w:rsidRPr="00732380" w:rsidRDefault="00CC2B09" w:rsidP="00841309">
      <w:pPr>
        <w:rPr>
          <w:b/>
          <w:bCs/>
          <w:sz w:val="24"/>
          <w:szCs w:val="24"/>
          <w:u w:val="single"/>
        </w:rPr>
      </w:pPr>
      <w:r>
        <w:rPr>
          <w:b/>
          <w:bCs/>
          <w:sz w:val="24"/>
          <w:szCs w:val="24"/>
          <w:u w:val="single"/>
        </w:rPr>
        <w:t xml:space="preserve">I- </w:t>
      </w:r>
      <w:r w:rsidR="00841309" w:rsidRPr="00732380">
        <w:rPr>
          <w:b/>
          <w:bCs/>
          <w:sz w:val="24"/>
          <w:szCs w:val="24"/>
          <w:u w:val="single"/>
        </w:rPr>
        <w:t>INTRODUCTION</w:t>
      </w:r>
    </w:p>
    <w:p w:rsidR="00BD58BD" w:rsidRPr="0038038D" w:rsidRDefault="00BD58BD" w:rsidP="0072647E">
      <w:pPr>
        <w:ind w:firstLine="426"/>
        <w:jc w:val="both"/>
        <w:rPr>
          <w:sz w:val="24"/>
          <w:szCs w:val="24"/>
        </w:rPr>
      </w:pPr>
      <w:r w:rsidRPr="0038038D">
        <w:rPr>
          <w:sz w:val="24"/>
          <w:szCs w:val="24"/>
        </w:rPr>
        <w:t>A l’occasion de la célébration du Jubilé de l’Organisation de l’Unité Africaine (OUA), les leaders africains ont décidé de renouveler leur engagement solennel en faveur de la mise en œuvre d’une vision d’une Afrique intégrée, prospère et pacifique, dirigée par ses propres citoyens et représentant une force dynamique sur la scène internationale.</w:t>
      </w:r>
    </w:p>
    <w:p w:rsidR="00BD58BD" w:rsidRPr="0038038D" w:rsidRDefault="00BD58BD" w:rsidP="0072647E">
      <w:pPr>
        <w:ind w:firstLine="426"/>
        <w:jc w:val="both"/>
        <w:rPr>
          <w:sz w:val="24"/>
          <w:szCs w:val="24"/>
        </w:rPr>
      </w:pPr>
      <w:r w:rsidRPr="0038038D">
        <w:rPr>
          <w:sz w:val="24"/>
          <w:szCs w:val="24"/>
        </w:rPr>
        <w:t xml:space="preserve">C’est dans cette optique que les dirigeants africains </w:t>
      </w:r>
      <w:r w:rsidR="00872A75" w:rsidRPr="0038038D">
        <w:rPr>
          <w:sz w:val="24"/>
          <w:szCs w:val="24"/>
        </w:rPr>
        <w:t>s</w:t>
      </w:r>
      <w:r w:rsidRPr="0038038D">
        <w:rPr>
          <w:sz w:val="24"/>
          <w:szCs w:val="24"/>
        </w:rPr>
        <w:t>ont convenu</w:t>
      </w:r>
      <w:r w:rsidR="00872A75" w:rsidRPr="0038038D">
        <w:rPr>
          <w:sz w:val="24"/>
          <w:szCs w:val="24"/>
        </w:rPr>
        <w:t>s</w:t>
      </w:r>
      <w:r w:rsidRPr="0038038D">
        <w:rPr>
          <w:sz w:val="24"/>
          <w:szCs w:val="24"/>
        </w:rPr>
        <w:t xml:space="preserve"> de la nécessité d’amorcer un processus de consultation en vue d’élaborer un programme continental de cinquante ans pour </w:t>
      </w:r>
      <w:r w:rsidR="00872A75" w:rsidRPr="0038038D">
        <w:rPr>
          <w:sz w:val="24"/>
          <w:szCs w:val="24"/>
        </w:rPr>
        <w:t>concrétiser</w:t>
      </w:r>
      <w:r w:rsidRPr="0038038D">
        <w:rPr>
          <w:sz w:val="24"/>
          <w:szCs w:val="24"/>
        </w:rPr>
        <w:t xml:space="preserve"> les aspirations des Peuples africains en matière de développement et de prospérité et préparer les transformations et les transitions </w:t>
      </w:r>
      <w:r w:rsidR="00872A75" w:rsidRPr="0038038D">
        <w:rPr>
          <w:sz w:val="24"/>
          <w:szCs w:val="24"/>
        </w:rPr>
        <w:t xml:space="preserve">devant mener </w:t>
      </w:r>
      <w:r w:rsidRPr="0038038D">
        <w:rPr>
          <w:sz w:val="24"/>
          <w:szCs w:val="24"/>
        </w:rPr>
        <w:t xml:space="preserve"> vers l’Afrique que nous voulons d’ici 2063.</w:t>
      </w:r>
    </w:p>
    <w:p w:rsidR="00BD58BD" w:rsidRPr="0038038D" w:rsidRDefault="00BD58BD" w:rsidP="0072647E">
      <w:pPr>
        <w:ind w:firstLine="426"/>
        <w:jc w:val="both"/>
        <w:rPr>
          <w:sz w:val="24"/>
          <w:szCs w:val="24"/>
        </w:rPr>
      </w:pPr>
      <w:r w:rsidRPr="0038038D">
        <w:rPr>
          <w:sz w:val="24"/>
          <w:szCs w:val="24"/>
        </w:rPr>
        <w:t xml:space="preserve">Ce processus a abouti à la conception de l’Agenda 2063, approuvée lors de la 24e session ordinaire de la Conférence de l’Union africaine, en janvier 2015, pour servir, à la fois, en tant qu’une vision et un plan d’action à long terme qui </w:t>
      </w:r>
      <w:r w:rsidR="00872A75" w:rsidRPr="0038038D">
        <w:rPr>
          <w:sz w:val="24"/>
          <w:szCs w:val="24"/>
        </w:rPr>
        <w:t>englobe</w:t>
      </w:r>
      <w:r w:rsidRPr="0038038D">
        <w:rPr>
          <w:sz w:val="24"/>
          <w:szCs w:val="24"/>
        </w:rPr>
        <w:t xml:space="preserve"> tous les segments de la société africaine, dans l’objectif ultime de construire ensemble une Afrique prospère et unie, fondée sur des valeurs communes et un destin commun.</w:t>
      </w:r>
    </w:p>
    <w:p w:rsidR="00BD58BD" w:rsidRPr="0038038D" w:rsidRDefault="00BD58BD" w:rsidP="0072647E">
      <w:pPr>
        <w:ind w:firstLine="426"/>
        <w:jc w:val="both"/>
        <w:rPr>
          <w:sz w:val="24"/>
          <w:szCs w:val="24"/>
        </w:rPr>
      </w:pPr>
      <w:r w:rsidRPr="0038038D">
        <w:rPr>
          <w:sz w:val="24"/>
          <w:szCs w:val="24"/>
        </w:rPr>
        <w:t>Cette vision s’imprègne du contexte historique du panafricanisme et des initiatives continentales passées et présentes, tels que la Déclaration de Monrovia de 1979, le Plan d’action de Lagos de 1980, le Traité d’Abuja de 1991 instituant les Communauté africaine économiques (CER</w:t>
      </w:r>
      <w:r w:rsidR="00872A75" w:rsidRPr="0038038D">
        <w:rPr>
          <w:sz w:val="24"/>
          <w:szCs w:val="24"/>
        </w:rPr>
        <w:t>s), le Nouveau partenariat pour le D</w:t>
      </w:r>
      <w:r w:rsidRPr="0038038D">
        <w:rPr>
          <w:sz w:val="24"/>
          <w:szCs w:val="24"/>
        </w:rPr>
        <w:t xml:space="preserve">éveloppement de l’Afrique (NEPAD), pour relever de nouveaux défis </w:t>
      </w:r>
      <w:r w:rsidR="003911B3" w:rsidRPr="0038038D">
        <w:rPr>
          <w:sz w:val="24"/>
          <w:szCs w:val="24"/>
        </w:rPr>
        <w:t xml:space="preserve">auxquels fait face </w:t>
      </w:r>
      <w:r w:rsidRPr="0038038D">
        <w:rPr>
          <w:sz w:val="24"/>
          <w:szCs w:val="24"/>
        </w:rPr>
        <w:t>le Continent qui aspire à devenir la troisième puissance économique mondiale, et un acteur incontournable, fort et influent sur la scène mondiale.</w:t>
      </w:r>
    </w:p>
    <w:p w:rsidR="00BD58BD" w:rsidRPr="0038038D" w:rsidRDefault="00BD58BD" w:rsidP="0072647E">
      <w:pPr>
        <w:ind w:firstLine="426"/>
        <w:jc w:val="both"/>
        <w:rPr>
          <w:sz w:val="24"/>
          <w:szCs w:val="24"/>
        </w:rPr>
      </w:pPr>
      <w:r w:rsidRPr="0038038D">
        <w:rPr>
          <w:sz w:val="24"/>
          <w:szCs w:val="24"/>
        </w:rPr>
        <w:t xml:space="preserve">L’Algérie, de par son </w:t>
      </w:r>
      <w:r w:rsidR="008C3C68" w:rsidRPr="0038038D">
        <w:rPr>
          <w:sz w:val="24"/>
          <w:szCs w:val="24"/>
        </w:rPr>
        <w:t>histoire,</w:t>
      </w:r>
      <w:r w:rsidRPr="0038038D">
        <w:rPr>
          <w:sz w:val="24"/>
          <w:szCs w:val="24"/>
        </w:rPr>
        <w:t xml:space="preserve"> sa géographie, ses principes et convictions, a toujours assumé un rôle actif dans les efforts </w:t>
      </w:r>
      <w:r w:rsidR="00094812" w:rsidRPr="0038038D">
        <w:rPr>
          <w:sz w:val="24"/>
          <w:szCs w:val="24"/>
        </w:rPr>
        <w:t>déployés</w:t>
      </w:r>
      <w:r w:rsidR="003911B3" w:rsidRPr="0038038D">
        <w:rPr>
          <w:sz w:val="24"/>
          <w:szCs w:val="24"/>
        </w:rPr>
        <w:t xml:space="preserve"> par l’Afrique</w:t>
      </w:r>
      <w:r w:rsidRPr="0038038D">
        <w:rPr>
          <w:sz w:val="24"/>
          <w:szCs w:val="24"/>
        </w:rPr>
        <w:t xml:space="preserve"> pour une renaissance africaine authentique, et continue à consentir des sacrifices et à honorer ses engagements et </w:t>
      </w:r>
      <w:r w:rsidR="008C3C68" w:rsidRPr="0038038D">
        <w:rPr>
          <w:sz w:val="24"/>
          <w:szCs w:val="24"/>
        </w:rPr>
        <w:t xml:space="preserve">assumer ses </w:t>
      </w:r>
      <w:r w:rsidRPr="0038038D">
        <w:rPr>
          <w:sz w:val="24"/>
          <w:szCs w:val="24"/>
        </w:rPr>
        <w:t xml:space="preserve">responsabilités vis-à-vis de l’Afrique et </w:t>
      </w:r>
      <w:r w:rsidR="008C3C68" w:rsidRPr="0038038D">
        <w:rPr>
          <w:sz w:val="24"/>
          <w:szCs w:val="24"/>
        </w:rPr>
        <w:t xml:space="preserve">à défendre et promouvoir </w:t>
      </w:r>
      <w:r w:rsidRPr="0038038D">
        <w:rPr>
          <w:sz w:val="24"/>
          <w:szCs w:val="24"/>
        </w:rPr>
        <w:t xml:space="preserve"> ses intérêts dans le concert des nations et au sein des institutions et foras internationaux.</w:t>
      </w:r>
    </w:p>
    <w:p w:rsidR="00BD58BD" w:rsidRPr="0038038D" w:rsidRDefault="00BD58BD" w:rsidP="0072647E">
      <w:pPr>
        <w:ind w:firstLine="426"/>
        <w:jc w:val="both"/>
        <w:rPr>
          <w:sz w:val="24"/>
          <w:szCs w:val="24"/>
        </w:rPr>
      </w:pPr>
      <w:r w:rsidRPr="0038038D">
        <w:rPr>
          <w:sz w:val="24"/>
          <w:szCs w:val="24"/>
        </w:rPr>
        <w:t xml:space="preserve">A cette fin, l’Algérie s’est </w:t>
      </w:r>
      <w:r w:rsidR="008C3C68" w:rsidRPr="0038038D">
        <w:rPr>
          <w:sz w:val="24"/>
          <w:szCs w:val="24"/>
        </w:rPr>
        <w:t>approprié</w:t>
      </w:r>
      <w:r w:rsidRPr="0038038D">
        <w:rPr>
          <w:sz w:val="24"/>
          <w:szCs w:val="24"/>
        </w:rPr>
        <w:t xml:space="preserve"> l’Agenda 2063 </w:t>
      </w:r>
      <w:r w:rsidR="008C3C68" w:rsidRPr="0038038D">
        <w:rPr>
          <w:sz w:val="24"/>
          <w:szCs w:val="24"/>
        </w:rPr>
        <w:t>dès son adoption en 2015. E</w:t>
      </w:r>
      <w:r w:rsidRPr="0038038D">
        <w:rPr>
          <w:sz w:val="24"/>
          <w:szCs w:val="24"/>
        </w:rPr>
        <w:t>t afin d’apporter des réponses nationales fortes à la mesure des enjeux et des défis, elle a mis en place un Comité interministériel de coordination. Ce dernier rassemble les différents ministères, institutions et organismes nationaux, avec pour missions</w:t>
      </w:r>
      <w:r w:rsidR="008C3C68" w:rsidRPr="0038038D">
        <w:rPr>
          <w:sz w:val="24"/>
          <w:szCs w:val="24"/>
        </w:rPr>
        <w:t xml:space="preserve"> pour suivre et évaluer</w:t>
      </w:r>
      <w:r w:rsidRPr="0038038D">
        <w:rPr>
          <w:sz w:val="24"/>
          <w:szCs w:val="24"/>
        </w:rPr>
        <w:t xml:space="preserve"> la mise en œuvre du Premier Plan Décennal (PPD) de l’Agenda 2063 en Algérie.</w:t>
      </w:r>
    </w:p>
    <w:p w:rsidR="00BD58BD" w:rsidRPr="00732380" w:rsidRDefault="00BD58BD" w:rsidP="0072647E">
      <w:pPr>
        <w:ind w:firstLine="426"/>
        <w:jc w:val="both"/>
        <w:rPr>
          <w:sz w:val="24"/>
          <w:szCs w:val="24"/>
        </w:rPr>
      </w:pPr>
      <w:r w:rsidRPr="00732380">
        <w:rPr>
          <w:sz w:val="24"/>
          <w:szCs w:val="24"/>
        </w:rPr>
        <w:t xml:space="preserve">L’Algérie a adopté la méthodologie préconisée par les experts de la Commission de l’Union Africaine et l’Agence de Développement de l’Union Africaine- NEPAD pour la réalisation de ce rapport. </w:t>
      </w:r>
      <w:r w:rsidR="00B85AC5">
        <w:rPr>
          <w:sz w:val="24"/>
          <w:szCs w:val="24"/>
        </w:rPr>
        <w:t>C</w:t>
      </w:r>
      <w:r w:rsidRPr="00732380">
        <w:rPr>
          <w:sz w:val="24"/>
          <w:szCs w:val="24"/>
        </w:rPr>
        <w:t>e rapport vise à faciliter le partage d’expériences entre les pays africains afin d’exploiter les synergies et de parvenir à une réalisation accélérée des objectifs de l’Agenda 2063.</w:t>
      </w:r>
    </w:p>
    <w:p w:rsidR="007E638F" w:rsidRPr="007E638F" w:rsidRDefault="007E638F" w:rsidP="00841309">
      <w:pPr>
        <w:rPr>
          <w:b/>
          <w:bCs/>
          <w:sz w:val="14"/>
          <w:szCs w:val="14"/>
        </w:rPr>
      </w:pPr>
    </w:p>
    <w:p w:rsidR="00FD0B90" w:rsidRPr="00841309" w:rsidRDefault="00CC2B09" w:rsidP="00841309">
      <w:pPr>
        <w:rPr>
          <w:b/>
          <w:bCs/>
          <w:sz w:val="24"/>
          <w:szCs w:val="24"/>
        </w:rPr>
      </w:pPr>
      <w:r>
        <w:rPr>
          <w:b/>
          <w:bCs/>
          <w:sz w:val="24"/>
          <w:szCs w:val="24"/>
        </w:rPr>
        <w:lastRenderedPageBreak/>
        <w:t>I</w:t>
      </w:r>
      <w:r w:rsidR="007E638F">
        <w:rPr>
          <w:b/>
          <w:bCs/>
          <w:sz w:val="24"/>
          <w:szCs w:val="24"/>
        </w:rPr>
        <w:t xml:space="preserve">I </w:t>
      </w:r>
      <w:r w:rsidR="00F25B11">
        <w:rPr>
          <w:b/>
          <w:bCs/>
          <w:sz w:val="24"/>
          <w:szCs w:val="24"/>
        </w:rPr>
        <w:t>- APERCU SUR LA SITUATION SOCIOECONOMIQUE DE l’ALGERIE</w:t>
      </w:r>
    </w:p>
    <w:p w:rsidR="00C12356" w:rsidRDefault="00C12356" w:rsidP="00F74B64">
      <w:pPr>
        <w:jc w:val="both"/>
        <w:rPr>
          <w:sz w:val="24"/>
          <w:szCs w:val="24"/>
        </w:rPr>
      </w:pPr>
      <w:r>
        <w:rPr>
          <w:sz w:val="24"/>
          <w:szCs w:val="24"/>
        </w:rPr>
        <w:t>Da</w:t>
      </w:r>
      <w:r w:rsidRPr="002D0DD8">
        <w:rPr>
          <w:sz w:val="24"/>
          <w:szCs w:val="24"/>
        </w:rPr>
        <w:t xml:space="preserve">ns cette partie, nous présentons une analyse succincte </w:t>
      </w:r>
      <w:r>
        <w:rPr>
          <w:sz w:val="24"/>
          <w:szCs w:val="24"/>
        </w:rPr>
        <w:t xml:space="preserve">de </w:t>
      </w:r>
      <w:r w:rsidRPr="002D0DD8">
        <w:rPr>
          <w:sz w:val="24"/>
          <w:szCs w:val="24"/>
        </w:rPr>
        <w:t xml:space="preserve">la situation économique et sociale </w:t>
      </w:r>
      <w:r>
        <w:rPr>
          <w:sz w:val="24"/>
          <w:szCs w:val="24"/>
        </w:rPr>
        <w:t>qui a prévalu en A</w:t>
      </w:r>
      <w:r w:rsidRPr="002D0DD8">
        <w:rPr>
          <w:sz w:val="24"/>
          <w:szCs w:val="24"/>
        </w:rPr>
        <w:t>lgérie au cours de la période 2013-2019.</w:t>
      </w:r>
      <w:r>
        <w:rPr>
          <w:sz w:val="24"/>
          <w:szCs w:val="24"/>
        </w:rPr>
        <w:t xml:space="preserve"> </w:t>
      </w:r>
    </w:p>
    <w:p w:rsidR="00C12356" w:rsidRPr="001925DC" w:rsidRDefault="00C12356" w:rsidP="00C12356">
      <w:pPr>
        <w:jc w:val="both"/>
        <w:rPr>
          <w:b/>
          <w:bCs/>
          <w:sz w:val="28"/>
          <w:szCs w:val="28"/>
        </w:rPr>
      </w:pPr>
      <w:r w:rsidRPr="001925DC">
        <w:rPr>
          <w:b/>
          <w:bCs/>
          <w:sz w:val="28"/>
          <w:szCs w:val="28"/>
        </w:rPr>
        <w:t xml:space="preserve">1- La croissance économique </w:t>
      </w:r>
    </w:p>
    <w:p w:rsidR="0055047B" w:rsidRDefault="0055047B" w:rsidP="0055047B">
      <w:pPr>
        <w:jc w:val="both"/>
        <w:rPr>
          <w:sz w:val="24"/>
          <w:szCs w:val="24"/>
        </w:rPr>
      </w:pPr>
      <w:r w:rsidRPr="00371B13">
        <w:rPr>
          <w:sz w:val="24"/>
          <w:szCs w:val="24"/>
        </w:rPr>
        <w:t xml:space="preserve">L’élément majeur caractéristique de la période 2013-2019 est la chute drastique des prix des hydrocarbures enclenchée à partir du second semestre 2014 </w:t>
      </w:r>
      <w:r w:rsidR="004353AF" w:rsidRPr="0038038D">
        <w:rPr>
          <w:sz w:val="24"/>
          <w:szCs w:val="24"/>
        </w:rPr>
        <w:t xml:space="preserve">ayant </w:t>
      </w:r>
      <w:r>
        <w:rPr>
          <w:sz w:val="24"/>
          <w:szCs w:val="24"/>
        </w:rPr>
        <w:t>impacté de manière directe les économies des pays producteurs d’hydrocarbures dont celle de l’Algérie.</w:t>
      </w:r>
      <w:r w:rsidRPr="00371B13">
        <w:rPr>
          <w:sz w:val="24"/>
          <w:szCs w:val="24"/>
        </w:rPr>
        <w:t xml:space="preserve"> </w:t>
      </w:r>
    </w:p>
    <w:p w:rsidR="00C12356" w:rsidRPr="00371B13" w:rsidRDefault="0055047B" w:rsidP="00F74B64">
      <w:pPr>
        <w:jc w:val="both"/>
        <w:rPr>
          <w:sz w:val="24"/>
          <w:szCs w:val="24"/>
        </w:rPr>
      </w:pPr>
      <w:r>
        <w:rPr>
          <w:sz w:val="24"/>
          <w:szCs w:val="24"/>
        </w:rPr>
        <w:t xml:space="preserve">La </w:t>
      </w:r>
      <w:r w:rsidR="00C12356" w:rsidRPr="00371B13">
        <w:rPr>
          <w:sz w:val="24"/>
          <w:szCs w:val="24"/>
        </w:rPr>
        <w:t>tendance baissière du prix moyen du baril qui a commencé en 2014 (-8,0%) passant de 109 $ US/baril en 2013 à 100,2 $ US/baril en 2014 s’est poursuivie en 2015 avec une baisse marquée de 47% pour atteindre le niveau de 45,0 $ US le baril en 2016, soit une baisse globale de 58,7% par rapport à 2013. A partir de 2017, les prix du baril se sont relevés pour atteindre en 2018 environ 71,3 $ US le baril avant de revenir en 2019 à un niveau, certes supérieur à celui de la période 2015-2017, mais bien inférieur au niveau des prix enregistré</w:t>
      </w:r>
      <w:r w:rsidR="00C12356">
        <w:rPr>
          <w:sz w:val="24"/>
          <w:szCs w:val="24"/>
        </w:rPr>
        <w:t>s</w:t>
      </w:r>
      <w:r w:rsidR="00C12356" w:rsidRPr="00371B13">
        <w:rPr>
          <w:sz w:val="24"/>
          <w:szCs w:val="24"/>
        </w:rPr>
        <w:t xml:space="preserve"> en 2013 et 2014. </w:t>
      </w:r>
    </w:p>
    <w:p w:rsidR="00C12356" w:rsidRDefault="00C12356" w:rsidP="00C12356">
      <w:pPr>
        <w:jc w:val="both"/>
        <w:rPr>
          <w:sz w:val="24"/>
          <w:szCs w:val="24"/>
        </w:rPr>
      </w:pPr>
      <w:r w:rsidRPr="00371B13">
        <w:rPr>
          <w:sz w:val="24"/>
          <w:szCs w:val="24"/>
        </w:rPr>
        <w:t xml:space="preserve">Toutefois, en dépit d’une conjoncture internationale défavorable, une partie du choc pétrolier de 2014 qui s’est propagé jusqu’à 2019 a pu être contenue et absorbée puisque l’économie algérienne a enregistré </w:t>
      </w:r>
      <w:r w:rsidR="004353AF" w:rsidRPr="006A3E65">
        <w:rPr>
          <w:sz w:val="24"/>
          <w:szCs w:val="24"/>
        </w:rPr>
        <w:t>au cours de</w:t>
      </w:r>
      <w:r w:rsidRPr="00371B13">
        <w:rPr>
          <w:sz w:val="24"/>
          <w:szCs w:val="24"/>
        </w:rPr>
        <w:t xml:space="preserve"> la période 2013-2019 (9 premier mois) un taux de croissance moyen assez appréciable soit 2,4%. Hors hydrocarbures, la croissance du PIB est encore plus importante puisqu’elle est de 4,0%.</w:t>
      </w:r>
    </w:p>
    <w:p w:rsidR="00C12356" w:rsidRDefault="00C12356" w:rsidP="00C12356">
      <w:pPr>
        <w:jc w:val="both"/>
        <w:rPr>
          <w:noProof/>
          <w:lang w:eastAsia="fr-FR"/>
        </w:rPr>
        <w:sectPr w:rsidR="00C12356" w:rsidSect="00077AF0">
          <w:footerReference w:type="default" r:id="rId8"/>
          <w:pgSz w:w="11906" w:h="16838"/>
          <w:pgMar w:top="720" w:right="1417" w:bottom="1417" w:left="1417" w:header="708" w:footer="708" w:gutter="0"/>
          <w:pgBorders w:offsetFrom="page">
            <w:top w:val="pushPinNote1" w:sz="10" w:space="24" w:color="auto"/>
            <w:left w:val="pushPinNote1" w:sz="10" w:space="24" w:color="auto"/>
            <w:bottom w:val="pushPinNote1" w:sz="10" w:space="24" w:color="auto"/>
            <w:right w:val="pushPinNote1" w:sz="10" w:space="24" w:color="auto"/>
          </w:pgBorders>
          <w:pgNumType w:start="1" w:chapStyle="1"/>
          <w:cols w:space="708"/>
          <w:docGrid w:linePitch="360"/>
        </w:sectPr>
      </w:pPr>
    </w:p>
    <w:p w:rsidR="00C12356" w:rsidRDefault="00CD55AD" w:rsidP="00C12356">
      <w:pPr>
        <w:jc w:val="both"/>
        <w:rPr>
          <w:noProof/>
          <w:lang w:eastAsia="fr-FR"/>
        </w:rPr>
      </w:pPr>
      <w:r>
        <w:rPr>
          <w:noProof/>
          <w:lang w:eastAsia="fr-FR"/>
        </w:rPr>
        <w:drawing>
          <wp:inline distT="0" distB="0" distL="0" distR="0">
            <wp:extent cx="2764897" cy="2291057"/>
            <wp:effectExtent l="12200" t="12202" r="17538" b="15761"/>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2356" w:rsidRDefault="00CD55AD" w:rsidP="00C12356">
      <w:pPr>
        <w:jc w:val="both"/>
        <w:rPr>
          <w:sz w:val="24"/>
          <w:szCs w:val="24"/>
        </w:rPr>
      </w:pPr>
      <w:r>
        <w:rPr>
          <w:noProof/>
          <w:lang w:eastAsia="fr-FR"/>
        </w:rPr>
        <w:drawing>
          <wp:inline distT="0" distB="0" distL="0" distR="0">
            <wp:extent cx="2775301" cy="2291057"/>
            <wp:effectExtent l="12206" t="12202" r="14113" b="15761"/>
            <wp:docPr id="2"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12356" w:rsidRDefault="00C12356" w:rsidP="00C12356">
      <w:pPr>
        <w:jc w:val="both"/>
        <w:rPr>
          <w:sz w:val="24"/>
          <w:szCs w:val="24"/>
        </w:rPr>
        <w:sectPr w:rsidR="00C12356" w:rsidSect="008E583B">
          <w:type w:val="continuous"/>
          <w:pgSz w:w="11906" w:h="16838"/>
          <w:pgMar w:top="1417" w:right="1417" w:bottom="1417" w:left="1417" w:header="708" w:footer="708" w:gutter="0"/>
          <w:pgBorders w:offsetFrom="page">
            <w:top w:val="pushPinNote1" w:sz="10" w:space="24" w:color="auto"/>
            <w:left w:val="pushPinNote1" w:sz="10" w:space="24" w:color="auto"/>
            <w:bottom w:val="pushPinNote1" w:sz="10" w:space="24" w:color="auto"/>
            <w:right w:val="pushPinNote1" w:sz="10" w:space="24" w:color="auto"/>
          </w:pgBorders>
          <w:cols w:num="2" w:space="708"/>
          <w:docGrid w:linePitch="360"/>
        </w:sectPr>
      </w:pPr>
    </w:p>
    <w:p w:rsidR="00C12356" w:rsidRPr="00371B13" w:rsidRDefault="00C12356" w:rsidP="00C12356">
      <w:pPr>
        <w:jc w:val="both"/>
        <w:rPr>
          <w:sz w:val="24"/>
          <w:szCs w:val="24"/>
        </w:rPr>
      </w:pPr>
      <w:r w:rsidRPr="00371B13">
        <w:rPr>
          <w:sz w:val="24"/>
          <w:szCs w:val="24"/>
        </w:rPr>
        <w:t>Les différents secteurs d’activité économique ont contribué de manière différenciée à la croissance économique.</w:t>
      </w:r>
    </w:p>
    <w:p w:rsidR="00C12356" w:rsidRPr="00371B13" w:rsidRDefault="00C12356" w:rsidP="00C12356">
      <w:pPr>
        <w:jc w:val="both"/>
        <w:rPr>
          <w:sz w:val="24"/>
          <w:szCs w:val="24"/>
        </w:rPr>
      </w:pPr>
      <w:r w:rsidRPr="00371B13">
        <w:rPr>
          <w:sz w:val="24"/>
          <w:szCs w:val="24"/>
        </w:rPr>
        <w:t>Deux secteurs d’activité ont été structurellement le moteur de la croissance sur la période 2013-2019 (9 Mois)</w:t>
      </w:r>
      <w:r>
        <w:rPr>
          <w:sz w:val="24"/>
          <w:szCs w:val="24"/>
        </w:rPr>
        <w:t xml:space="preserve"> </w:t>
      </w:r>
      <w:r w:rsidRPr="00371B13">
        <w:rPr>
          <w:sz w:val="24"/>
          <w:szCs w:val="24"/>
        </w:rPr>
        <w:t>: il s’agit du secteur du BTPH qui a réalisé une croissance moyenne de 5,2% et du secteur des services non marchands avec une croissance moyenne de 5,1%. Pour l’essentiel, le dynamisme de ce dernier secteur trouve ses origines au niveau de l’activité des transports et télécommunication particulièrement la téléphonie mobile et des services fournis aux ménages.</w:t>
      </w:r>
    </w:p>
    <w:p w:rsidR="004353AF" w:rsidRDefault="00C12356" w:rsidP="00C12356">
      <w:pPr>
        <w:jc w:val="both"/>
        <w:rPr>
          <w:sz w:val="24"/>
          <w:szCs w:val="24"/>
        </w:rPr>
      </w:pPr>
      <w:r w:rsidRPr="00371B13">
        <w:rPr>
          <w:sz w:val="24"/>
          <w:szCs w:val="24"/>
        </w:rPr>
        <w:t xml:space="preserve">Le secteur industriel a lui aussi soutenu la croissance économique </w:t>
      </w:r>
      <w:r>
        <w:rPr>
          <w:sz w:val="24"/>
          <w:szCs w:val="24"/>
        </w:rPr>
        <w:t xml:space="preserve">sur la période </w:t>
      </w:r>
      <w:r w:rsidRPr="00371B13">
        <w:rPr>
          <w:sz w:val="24"/>
          <w:szCs w:val="24"/>
        </w:rPr>
        <w:t xml:space="preserve">puisqu’il a réalisé une performance moyenne de 4,3%. </w:t>
      </w:r>
    </w:p>
    <w:p w:rsidR="00C12356" w:rsidRPr="00371B13" w:rsidRDefault="00C12356" w:rsidP="00C12356">
      <w:pPr>
        <w:jc w:val="both"/>
        <w:rPr>
          <w:sz w:val="24"/>
          <w:szCs w:val="24"/>
        </w:rPr>
      </w:pPr>
      <w:r w:rsidRPr="00371B13">
        <w:rPr>
          <w:sz w:val="24"/>
          <w:szCs w:val="24"/>
        </w:rPr>
        <w:lastRenderedPageBreak/>
        <w:t>En revanche, l’activité du secteur agricole a été moins régulière bien qu’</w:t>
      </w:r>
      <w:r>
        <w:rPr>
          <w:sz w:val="24"/>
          <w:szCs w:val="24"/>
        </w:rPr>
        <w:t xml:space="preserve">il </w:t>
      </w:r>
      <w:r w:rsidRPr="00371B13">
        <w:rPr>
          <w:sz w:val="24"/>
          <w:szCs w:val="24"/>
        </w:rPr>
        <w:t>enregistre une croissance moyenne de 3,6% largement supérieur</w:t>
      </w:r>
      <w:r>
        <w:rPr>
          <w:sz w:val="24"/>
          <w:szCs w:val="24"/>
        </w:rPr>
        <w:t>e</w:t>
      </w:r>
      <w:r w:rsidRPr="00371B13">
        <w:rPr>
          <w:sz w:val="24"/>
          <w:szCs w:val="24"/>
        </w:rPr>
        <w:t xml:space="preserve"> au taux d’accroissement de la population. </w:t>
      </w:r>
    </w:p>
    <w:p w:rsidR="00C12356" w:rsidRDefault="00C12356" w:rsidP="00C12356">
      <w:pPr>
        <w:jc w:val="both"/>
        <w:rPr>
          <w:sz w:val="24"/>
          <w:szCs w:val="24"/>
        </w:rPr>
      </w:pPr>
      <w:r w:rsidRPr="00371B13">
        <w:rPr>
          <w:sz w:val="24"/>
          <w:szCs w:val="24"/>
        </w:rPr>
        <w:t>S’agissan</w:t>
      </w:r>
      <w:r w:rsidR="004353AF">
        <w:rPr>
          <w:sz w:val="24"/>
          <w:szCs w:val="24"/>
        </w:rPr>
        <w:t>t des hydrocarbures et excepté</w:t>
      </w:r>
      <w:r w:rsidRPr="00371B13">
        <w:rPr>
          <w:sz w:val="24"/>
          <w:szCs w:val="24"/>
        </w:rPr>
        <w:t xml:space="preserve"> l’année 2016 où le secteur a réalisé une croissance très appréciable de 7,7% et l’année 2015 dont la croissance du secteur a connu une </w:t>
      </w:r>
      <w:r>
        <w:rPr>
          <w:sz w:val="24"/>
          <w:szCs w:val="24"/>
        </w:rPr>
        <w:t>quasi-</w:t>
      </w:r>
      <w:r w:rsidRPr="00371B13">
        <w:rPr>
          <w:sz w:val="24"/>
          <w:szCs w:val="24"/>
        </w:rPr>
        <w:t xml:space="preserve">stagnation, les autres années ont enregistré des contre-performances. En moyenne, le secteur des hydrocarbures qui représente près du quart (24%) du PIB nominal sur la période 2013-2019 </w:t>
      </w:r>
      <w:r>
        <w:rPr>
          <w:sz w:val="24"/>
          <w:szCs w:val="24"/>
        </w:rPr>
        <w:t xml:space="preserve">voit sa valeur ajoutée en termes réels baisser </w:t>
      </w:r>
      <w:r w:rsidRPr="00371B13">
        <w:rPr>
          <w:sz w:val="24"/>
          <w:szCs w:val="24"/>
        </w:rPr>
        <w:t xml:space="preserve">de -1,7%. </w:t>
      </w:r>
    </w:p>
    <w:p w:rsidR="00C12356" w:rsidRDefault="00CD55AD" w:rsidP="00C12356">
      <w:pPr>
        <w:jc w:val="both"/>
        <w:rPr>
          <w:sz w:val="24"/>
          <w:szCs w:val="24"/>
        </w:rPr>
      </w:pPr>
      <w:r>
        <w:rPr>
          <w:noProof/>
          <w:lang w:eastAsia="fr-FR"/>
        </w:rPr>
        <w:drawing>
          <wp:inline distT="0" distB="0" distL="0" distR="0">
            <wp:extent cx="5780538" cy="2581372"/>
            <wp:effectExtent l="12189" t="12204" r="15618" b="18179"/>
            <wp:docPr id="3"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2356" w:rsidRPr="001925DC" w:rsidRDefault="00C12356" w:rsidP="00C12356">
      <w:pPr>
        <w:jc w:val="both"/>
        <w:rPr>
          <w:b/>
          <w:bCs/>
          <w:sz w:val="28"/>
          <w:szCs w:val="28"/>
        </w:rPr>
      </w:pPr>
      <w:r w:rsidRPr="001925DC">
        <w:rPr>
          <w:b/>
          <w:bCs/>
          <w:sz w:val="28"/>
          <w:szCs w:val="28"/>
        </w:rPr>
        <w:t xml:space="preserve">2- La demande </w:t>
      </w:r>
    </w:p>
    <w:p w:rsidR="00C12356" w:rsidRDefault="00C12356" w:rsidP="00C12356">
      <w:pPr>
        <w:jc w:val="both"/>
        <w:rPr>
          <w:sz w:val="24"/>
          <w:szCs w:val="24"/>
        </w:rPr>
      </w:pPr>
      <w:r>
        <w:rPr>
          <w:sz w:val="24"/>
          <w:szCs w:val="24"/>
        </w:rPr>
        <w:t>Du côté de la demande, il est aisé de remarquer que sur la période considérée, la croissance économique a été soutenue par la dépense interne à savoir la consommation finale et l’investissement.</w:t>
      </w:r>
    </w:p>
    <w:p w:rsidR="00C12356" w:rsidRDefault="00C12356" w:rsidP="00C12356">
      <w:pPr>
        <w:jc w:val="both"/>
        <w:rPr>
          <w:sz w:val="24"/>
          <w:szCs w:val="24"/>
        </w:rPr>
      </w:pPr>
      <w:r>
        <w:rPr>
          <w:sz w:val="24"/>
          <w:szCs w:val="24"/>
        </w:rPr>
        <w:t>Ainsi, la Consommation Finale des Ménages (CFM) a enregistré durant la période considérée une croissance moyenne en volume de 3,2%. La croissance la plus soutenue de la CFM a été enregistrée en 2013 avec 5,0%. Pour sa part, la Consommation Finale des Administrations Publiques (CFAP) a connu durant la période considérée une croissance moins soutenue que celle des ménages, soit un taux moyens 1,9%. Cela peut s’expliquer en grande partie par une gestion plus rationnelle des moyens de fonctionnement de l’administration suite à la réduction des recettes budgétaires de l’Etat.</w:t>
      </w:r>
    </w:p>
    <w:p w:rsidR="00C12356" w:rsidRDefault="00C12356" w:rsidP="006A3E65">
      <w:pPr>
        <w:jc w:val="both"/>
        <w:rPr>
          <w:sz w:val="24"/>
          <w:szCs w:val="24"/>
        </w:rPr>
      </w:pPr>
      <w:r w:rsidRPr="006A3E65">
        <w:rPr>
          <w:sz w:val="24"/>
          <w:szCs w:val="24"/>
        </w:rPr>
        <w:t>Mesur</w:t>
      </w:r>
      <w:r w:rsidR="006A3E65" w:rsidRPr="006A3E65">
        <w:rPr>
          <w:sz w:val="24"/>
          <w:szCs w:val="24"/>
        </w:rPr>
        <w:t>é</w:t>
      </w:r>
      <w:r>
        <w:rPr>
          <w:sz w:val="24"/>
          <w:szCs w:val="24"/>
        </w:rPr>
        <w:t xml:space="preserve"> par la Formation Brute du Capital Fixe (FCBF), l’investissement a cru en volume et en moyenne de 4,7% sur la période considérée. Le taux de croissance le plus important de la FBCF a été établi en 2013 avec 8,3%. La FBCF a été essentiellement soutenue par les investissements de l’Etat à travers l’expansion budgétaire et par les investissements dans le secteur des hydrocarbures.</w:t>
      </w:r>
    </w:p>
    <w:p w:rsidR="004353AF" w:rsidRDefault="00C12356" w:rsidP="00C12356">
      <w:pPr>
        <w:jc w:val="both"/>
        <w:rPr>
          <w:sz w:val="24"/>
          <w:szCs w:val="24"/>
        </w:rPr>
      </w:pPr>
      <w:r>
        <w:rPr>
          <w:sz w:val="24"/>
          <w:szCs w:val="24"/>
        </w:rPr>
        <w:t xml:space="preserve"> La demande externe adressée à l’Algérie a baissé en volume en raison de la réduction du volume des exportations des hydrocarbures. En effet, sur la période considérée, elle a baissé de 1,9%. </w:t>
      </w:r>
    </w:p>
    <w:p w:rsidR="00C12356" w:rsidRDefault="00C12356" w:rsidP="00C62B5B">
      <w:pPr>
        <w:jc w:val="both"/>
        <w:rPr>
          <w:sz w:val="24"/>
          <w:szCs w:val="24"/>
        </w:rPr>
      </w:pPr>
      <w:r>
        <w:rPr>
          <w:sz w:val="24"/>
          <w:szCs w:val="24"/>
        </w:rPr>
        <w:lastRenderedPageBreak/>
        <w:t>Hormis l’année 2016 où le volume des exportations des hydrocarbures a été positif (6,3%) et dans une moindre mesure l’année 2014 où le volume des exportations des hydrocarbures a stagné, les autres années sont caractérisées par des baisses relativement importantes des exportations des hydrocarbures.</w:t>
      </w:r>
      <w:r w:rsidR="00C62B5B">
        <w:rPr>
          <w:sz w:val="24"/>
          <w:szCs w:val="24"/>
        </w:rPr>
        <w:t xml:space="preserve"> </w:t>
      </w:r>
      <w:r w:rsidR="00C62B5B" w:rsidRPr="00C62B5B">
        <w:rPr>
          <w:sz w:val="24"/>
          <w:szCs w:val="24"/>
        </w:rPr>
        <w:t>D</w:t>
      </w:r>
      <w:r w:rsidR="00D419CD" w:rsidRPr="00C62B5B">
        <w:rPr>
          <w:sz w:val="24"/>
          <w:szCs w:val="24"/>
        </w:rPr>
        <w:t>urant</w:t>
      </w:r>
      <w:r w:rsidR="00D419CD" w:rsidRPr="00D419CD">
        <w:rPr>
          <w:sz w:val="24"/>
          <w:szCs w:val="24"/>
        </w:rPr>
        <w:t xml:space="preserve"> la</w:t>
      </w:r>
      <w:r>
        <w:rPr>
          <w:sz w:val="24"/>
          <w:szCs w:val="24"/>
        </w:rPr>
        <w:t xml:space="preserve"> période considérée, le volume des ventes à l’extérieur des produits des hydrocarbures a marqué une baisse moyenne de 2,5%.</w:t>
      </w:r>
    </w:p>
    <w:p w:rsidR="00C12356" w:rsidRDefault="00C12356" w:rsidP="000F2F3F">
      <w:pPr>
        <w:jc w:val="both"/>
        <w:rPr>
          <w:sz w:val="24"/>
          <w:szCs w:val="24"/>
        </w:rPr>
      </w:pPr>
      <w:r>
        <w:rPr>
          <w:sz w:val="24"/>
          <w:szCs w:val="24"/>
        </w:rPr>
        <w:t>Même si leur part reste marginale dans l’ensemble des exportations de marchandises (4,9%), les produits hors hydrocarbures vendus à l’extérieur ont conn</w:t>
      </w:r>
      <w:r w:rsidR="00D419CD">
        <w:rPr>
          <w:sz w:val="24"/>
          <w:szCs w:val="24"/>
        </w:rPr>
        <w:t>u une vive croissance en volume</w:t>
      </w:r>
      <w:r>
        <w:rPr>
          <w:sz w:val="24"/>
          <w:szCs w:val="24"/>
        </w:rPr>
        <w:t xml:space="preserve"> </w:t>
      </w:r>
      <w:r w:rsidR="000F2F3F">
        <w:rPr>
          <w:sz w:val="24"/>
          <w:szCs w:val="24"/>
        </w:rPr>
        <w:t xml:space="preserve">avec </w:t>
      </w:r>
      <w:r w:rsidR="000F2F3F" w:rsidRPr="000F2F3F">
        <w:rPr>
          <w:sz w:val="24"/>
          <w:szCs w:val="24"/>
        </w:rPr>
        <w:t xml:space="preserve">un </w:t>
      </w:r>
      <w:r>
        <w:rPr>
          <w:sz w:val="24"/>
          <w:szCs w:val="24"/>
        </w:rPr>
        <w:t xml:space="preserve">taux moyen de 8,6% sur la période considérée. </w:t>
      </w:r>
    </w:p>
    <w:p w:rsidR="00C12356" w:rsidRPr="00371B13" w:rsidRDefault="00C12356" w:rsidP="00C12356">
      <w:pPr>
        <w:jc w:val="both"/>
        <w:rPr>
          <w:sz w:val="24"/>
          <w:szCs w:val="24"/>
        </w:rPr>
      </w:pPr>
      <w:r>
        <w:rPr>
          <w:sz w:val="24"/>
          <w:szCs w:val="24"/>
        </w:rPr>
        <w:t>S’agissant du volume des exportations de services, il a été erratique sur la période marquant tantôt une croissance (2014, 2015, 2016 et 2018) et tantôt des contreperformances (2013 et 2017). Le taux moyen de croissance du volume des exportations de services reste</w:t>
      </w:r>
      <w:r w:rsidR="00D419CD">
        <w:rPr>
          <w:sz w:val="24"/>
          <w:szCs w:val="24"/>
        </w:rPr>
        <w:t>,</w:t>
      </w:r>
      <w:r>
        <w:rPr>
          <w:sz w:val="24"/>
          <w:szCs w:val="24"/>
        </w:rPr>
        <w:t xml:space="preserve"> toutefois</w:t>
      </w:r>
      <w:r w:rsidR="00D419CD">
        <w:rPr>
          <w:sz w:val="24"/>
          <w:szCs w:val="24"/>
        </w:rPr>
        <w:t>,</w:t>
      </w:r>
      <w:r>
        <w:rPr>
          <w:sz w:val="24"/>
          <w:szCs w:val="24"/>
        </w:rPr>
        <w:t xml:space="preserve"> positif </w:t>
      </w:r>
      <w:r w:rsidR="00D419CD" w:rsidRPr="000F2F3F">
        <w:rPr>
          <w:sz w:val="24"/>
          <w:szCs w:val="24"/>
        </w:rPr>
        <w:t>au cours</w:t>
      </w:r>
      <w:r>
        <w:rPr>
          <w:sz w:val="24"/>
          <w:szCs w:val="24"/>
        </w:rPr>
        <w:t xml:space="preserve"> la période considérée avec le taux de 3,3%.</w:t>
      </w:r>
    </w:p>
    <w:p w:rsidR="00C12356" w:rsidRPr="00371B13" w:rsidRDefault="00C12356" w:rsidP="00C12356">
      <w:pPr>
        <w:jc w:val="both"/>
        <w:rPr>
          <w:sz w:val="24"/>
          <w:szCs w:val="24"/>
        </w:rPr>
      </w:pPr>
      <w:r>
        <w:rPr>
          <w:sz w:val="24"/>
          <w:szCs w:val="24"/>
        </w:rPr>
        <w:t>Notons</w:t>
      </w:r>
      <w:r w:rsidR="00D419CD">
        <w:rPr>
          <w:sz w:val="24"/>
          <w:szCs w:val="24"/>
        </w:rPr>
        <w:t>,</w:t>
      </w:r>
      <w:r>
        <w:rPr>
          <w:sz w:val="24"/>
          <w:szCs w:val="24"/>
        </w:rPr>
        <w:t xml:space="preserve"> enfin</w:t>
      </w:r>
      <w:r w:rsidR="00D419CD">
        <w:rPr>
          <w:sz w:val="24"/>
          <w:szCs w:val="24"/>
        </w:rPr>
        <w:t>,</w:t>
      </w:r>
      <w:r>
        <w:rPr>
          <w:sz w:val="24"/>
          <w:szCs w:val="24"/>
        </w:rPr>
        <w:t xml:space="preserve"> que les importations de biens et services qui constituent des éléments de l’offre globale ou des ressources</w:t>
      </w:r>
      <w:r w:rsidR="00D419CD" w:rsidRPr="004914A4">
        <w:rPr>
          <w:sz w:val="24"/>
          <w:szCs w:val="24"/>
        </w:rPr>
        <w:t>,</w:t>
      </w:r>
      <w:r>
        <w:rPr>
          <w:sz w:val="24"/>
          <w:szCs w:val="24"/>
        </w:rPr>
        <w:t xml:space="preserve"> ont connu à partir de 2017 des baisses successives de leur volume suite à la baisse des revenus pétroliers. Sur la période considérée, le volume moyen des importations de biens et services reste positif et progresse de 1,4%.</w:t>
      </w:r>
    </w:p>
    <w:p w:rsidR="00C12356" w:rsidRDefault="00C12356" w:rsidP="00C12356">
      <w:pPr>
        <w:jc w:val="both"/>
        <w:rPr>
          <w:noProof/>
          <w:lang w:eastAsia="fr-FR"/>
        </w:rPr>
        <w:sectPr w:rsidR="00C12356" w:rsidSect="008E583B">
          <w:type w:val="continuous"/>
          <w:pgSz w:w="11906" w:h="16838"/>
          <w:pgMar w:top="1417" w:right="1417" w:bottom="1417" w:left="1417"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pPr>
    </w:p>
    <w:p w:rsidR="00C12356" w:rsidRDefault="00CD55AD" w:rsidP="00C12356">
      <w:pPr>
        <w:jc w:val="both"/>
        <w:rPr>
          <w:noProof/>
          <w:lang w:eastAsia="fr-FR"/>
        </w:rPr>
      </w:pPr>
      <w:r>
        <w:rPr>
          <w:noProof/>
          <w:lang w:eastAsia="fr-FR"/>
        </w:rPr>
        <w:drawing>
          <wp:inline distT="0" distB="0" distL="0" distR="0">
            <wp:extent cx="2804524" cy="2293593"/>
            <wp:effectExtent l="12200" t="12205" r="14106" b="13222"/>
            <wp:docPr id="4"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2356" w:rsidRDefault="00CD55AD" w:rsidP="00C12356">
      <w:pPr>
        <w:jc w:val="both"/>
        <w:rPr>
          <w:sz w:val="24"/>
          <w:szCs w:val="24"/>
        </w:rPr>
      </w:pPr>
      <w:r>
        <w:rPr>
          <w:noProof/>
          <w:lang w:eastAsia="fr-FR"/>
        </w:rPr>
        <w:drawing>
          <wp:inline distT="0" distB="0" distL="0" distR="0">
            <wp:extent cx="2867653" cy="2291057"/>
            <wp:effectExtent l="12195" t="12202" r="17022" b="15761"/>
            <wp:docPr id="5"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2356" w:rsidRDefault="00CD55AD" w:rsidP="00C12356">
      <w:pPr>
        <w:jc w:val="both"/>
        <w:rPr>
          <w:noProof/>
          <w:lang w:eastAsia="fr-FR"/>
        </w:rPr>
      </w:pPr>
      <w:r>
        <w:rPr>
          <w:noProof/>
          <w:lang w:eastAsia="fr-FR"/>
        </w:rPr>
        <w:drawing>
          <wp:inline distT="0" distB="0" distL="0" distR="0">
            <wp:extent cx="2867653" cy="2291057"/>
            <wp:effectExtent l="12195" t="12202" r="17022" b="15761"/>
            <wp:docPr id="6"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12356" w:rsidRDefault="00CD55AD" w:rsidP="00C12356">
      <w:pPr>
        <w:jc w:val="both"/>
        <w:rPr>
          <w:noProof/>
          <w:lang w:eastAsia="fr-FR"/>
        </w:rPr>
        <w:sectPr w:rsidR="00C12356" w:rsidSect="008E583B">
          <w:type w:val="continuous"/>
          <w:pgSz w:w="11906" w:h="16838"/>
          <w:pgMar w:top="1417" w:right="1417" w:bottom="1417" w:left="1417" w:header="708" w:footer="708" w:gutter="0"/>
          <w:pgBorders w:offsetFrom="page">
            <w:top w:val="pushPinNote1" w:sz="10" w:space="24" w:color="auto"/>
            <w:left w:val="pushPinNote1" w:sz="10" w:space="24" w:color="auto"/>
            <w:bottom w:val="pushPinNote1" w:sz="10" w:space="24" w:color="auto"/>
            <w:right w:val="pushPinNote1" w:sz="10" w:space="24" w:color="auto"/>
          </w:pgBorders>
          <w:cols w:num="2" w:space="708"/>
          <w:docGrid w:linePitch="360"/>
        </w:sectPr>
      </w:pPr>
      <w:r>
        <w:rPr>
          <w:noProof/>
          <w:lang w:eastAsia="fr-FR"/>
        </w:rPr>
        <w:drawing>
          <wp:inline distT="0" distB="0" distL="0" distR="0">
            <wp:extent cx="2867653" cy="2279777"/>
            <wp:effectExtent l="12195" t="12192" r="17022" b="12446"/>
            <wp:docPr id="7"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12356" w:rsidRDefault="00C12356" w:rsidP="00C12356">
      <w:pPr>
        <w:jc w:val="both"/>
        <w:rPr>
          <w:sz w:val="24"/>
          <w:szCs w:val="24"/>
        </w:rPr>
      </w:pPr>
    </w:p>
    <w:p w:rsidR="00C12356" w:rsidRPr="001925DC" w:rsidRDefault="00C12356" w:rsidP="00C12356">
      <w:pPr>
        <w:jc w:val="both"/>
        <w:rPr>
          <w:b/>
          <w:bCs/>
          <w:sz w:val="28"/>
          <w:szCs w:val="28"/>
        </w:rPr>
      </w:pPr>
      <w:r w:rsidRPr="001925DC">
        <w:rPr>
          <w:b/>
          <w:bCs/>
          <w:sz w:val="28"/>
          <w:szCs w:val="28"/>
        </w:rPr>
        <w:lastRenderedPageBreak/>
        <w:t>3- les équilibre</w:t>
      </w:r>
      <w:r>
        <w:rPr>
          <w:b/>
          <w:bCs/>
          <w:sz w:val="28"/>
          <w:szCs w:val="28"/>
        </w:rPr>
        <w:t>s</w:t>
      </w:r>
      <w:r w:rsidRPr="001925DC">
        <w:rPr>
          <w:b/>
          <w:bCs/>
          <w:sz w:val="28"/>
          <w:szCs w:val="28"/>
        </w:rPr>
        <w:t xml:space="preserve"> financiers externes</w:t>
      </w:r>
    </w:p>
    <w:p w:rsidR="00C12356" w:rsidRPr="00926C90" w:rsidRDefault="00C12356" w:rsidP="00C12356">
      <w:pPr>
        <w:jc w:val="both"/>
        <w:rPr>
          <w:bCs/>
          <w:sz w:val="24"/>
          <w:szCs w:val="24"/>
        </w:rPr>
      </w:pPr>
      <w:r w:rsidRPr="00926C90">
        <w:rPr>
          <w:bCs/>
          <w:sz w:val="24"/>
          <w:szCs w:val="24"/>
        </w:rPr>
        <w:t>Les équilibres financiers extérieurs de l’Algérie tels que mesurés par la balance des paiements ont été impactés négativement par la conjoncture pétrolière défavorable d’abord de manière légère en 2014 puis rudement à partir de 2015.</w:t>
      </w:r>
    </w:p>
    <w:p w:rsidR="00C12356" w:rsidRPr="00926C90" w:rsidRDefault="00C12356" w:rsidP="004914A4">
      <w:pPr>
        <w:jc w:val="both"/>
        <w:rPr>
          <w:bCs/>
          <w:sz w:val="24"/>
          <w:szCs w:val="24"/>
        </w:rPr>
      </w:pPr>
      <w:r w:rsidRPr="00926C90">
        <w:rPr>
          <w:bCs/>
          <w:sz w:val="24"/>
          <w:szCs w:val="24"/>
        </w:rPr>
        <w:t xml:space="preserve">Sur la période 2013-2018, les importations annuelles moyennes de marchandises sont de 52,3 milliards de US $. </w:t>
      </w:r>
      <w:r w:rsidRPr="004914A4">
        <w:rPr>
          <w:bCs/>
          <w:sz w:val="24"/>
          <w:szCs w:val="24"/>
        </w:rPr>
        <w:t xml:space="preserve">Sur </w:t>
      </w:r>
      <w:r w:rsidR="004914A4" w:rsidRPr="004914A4">
        <w:rPr>
          <w:bCs/>
          <w:sz w:val="24"/>
          <w:szCs w:val="24"/>
        </w:rPr>
        <w:t xml:space="preserve">la même </w:t>
      </w:r>
      <w:r w:rsidRPr="004914A4">
        <w:rPr>
          <w:bCs/>
          <w:sz w:val="24"/>
          <w:szCs w:val="24"/>
        </w:rPr>
        <w:t>la période</w:t>
      </w:r>
      <w:r w:rsidRPr="00926C90">
        <w:rPr>
          <w:bCs/>
          <w:sz w:val="24"/>
          <w:szCs w:val="24"/>
        </w:rPr>
        <w:t>, elles ont légèrement baissé en passant de 55 milliards de US $ en 2013 à 48,6 milliards de US $ en 2018.</w:t>
      </w:r>
    </w:p>
    <w:p w:rsidR="00C12356" w:rsidRPr="00926C90" w:rsidRDefault="00C12356" w:rsidP="00C12356">
      <w:pPr>
        <w:jc w:val="both"/>
        <w:rPr>
          <w:bCs/>
          <w:sz w:val="24"/>
          <w:szCs w:val="24"/>
        </w:rPr>
      </w:pPr>
      <w:r w:rsidRPr="00926C90">
        <w:rPr>
          <w:bCs/>
          <w:sz w:val="24"/>
          <w:szCs w:val="24"/>
        </w:rPr>
        <w:t>Les exportations de marchandises</w:t>
      </w:r>
      <w:r w:rsidR="00D419CD">
        <w:rPr>
          <w:bCs/>
          <w:sz w:val="24"/>
          <w:szCs w:val="24"/>
        </w:rPr>
        <w:t>,</w:t>
      </w:r>
      <w:r w:rsidRPr="00926C90">
        <w:rPr>
          <w:bCs/>
          <w:sz w:val="24"/>
          <w:szCs w:val="24"/>
        </w:rPr>
        <w:t xml:space="preserve"> quant à elles</w:t>
      </w:r>
      <w:r w:rsidR="00D419CD">
        <w:rPr>
          <w:bCs/>
          <w:sz w:val="24"/>
          <w:szCs w:val="24"/>
        </w:rPr>
        <w:t>,</w:t>
      </w:r>
      <w:r w:rsidRPr="00926C90">
        <w:rPr>
          <w:bCs/>
          <w:sz w:val="24"/>
          <w:szCs w:val="24"/>
        </w:rPr>
        <w:t xml:space="preserve"> enregistrent une baisse très marquée à partir de 2014. En effet, elles passent de 64,9 milliards de US $ en 2013 à 29,3 milliards de US $ en 2016, soit une baisse nominale de 54,8%. A la faveur de légère reprise des prix des hydrocarbures à partir de 2017, la valeur des exportations de marchandises remonte en 2017 à 34,6 milliards de US $ pour s’établir en 2018 à 41,1 milliards de US $.</w:t>
      </w:r>
    </w:p>
    <w:p w:rsidR="00C12356" w:rsidRPr="00926C90" w:rsidRDefault="00C12356" w:rsidP="0055047B">
      <w:pPr>
        <w:jc w:val="both"/>
        <w:rPr>
          <w:bCs/>
          <w:sz w:val="24"/>
          <w:szCs w:val="24"/>
        </w:rPr>
      </w:pPr>
      <w:r w:rsidRPr="00926C90">
        <w:rPr>
          <w:bCs/>
          <w:sz w:val="24"/>
          <w:szCs w:val="24"/>
        </w:rPr>
        <w:t>Pour l’essentiel, ces niveaux d’exportation de marchandises est le fait des exportations des hydrocarbures qui représentent su</w:t>
      </w:r>
      <w:r w:rsidR="00D419CD">
        <w:rPr>
          <w:bCs/>
          <w:sz w:val="24"/>
          <w:szCs w:val="24"/>
        </w:rPr>
        <w:t xml:space="preserve">r </w:t>
      </w:r>
      <w:r w:rsidRPr="00926C90">
        <w:rPr>
          <w:bCs/>
          <w:sz w:val="24"/>
          <w:szCs w:val="24"/>
        </w:rPr>
        <w:t>la période 2013-2018 la proportion moyenne de 96,3% du montant global des exportations de marchandises. Les exportations de marchandises hors hydrocarbures demeurent donc toujours marginales mais leur valeur progresse sur la période en passant de</w:t>
      </w:r>
      <w:r w:rsidR="0055047B">
        <w:rPr>
          <w:bCs/>
          <w:sz w:val="24"/>
          <w:szCs w:val="24"/>
        </w:rPr>
        <w:t xml:space="preserve"> </w:t>
      </w:r>
      <w:r w:rsidRPr="00926C90">
        <w:rPr>
          <w:bCs/>
          <w:sz w:val="24"/>
          <w:szCs w:val="24"/>
        </w:rPr>
        <w:t>1</w:t>
      </w:r>
      <w:r w:rsidR="0055047B" w:rsidRPr="00926C90">
        <w:rPr>
          <w:bCs/>
          <w:sz w:val="24"/>
          <w:szCs w:val="24"/>
        </w:rPr>
        <w:t>,</w:t>
      </w:r>
      <w:r w:rsidR="0055047B">
        <w:rPr>
          <w:bCs/>
          <w:sz w:val="24"/>
          <w:szCs w:val="24"/>
        </w:rPr>
        <w:t>1</w:t>
      </w:r>
      <w:r w:rsidRPr="00926C90">
        <w:rPr>
          <w:bCs/>
          <w:sz w:val="24"/>
          <w:szCs w:val="24"/>
        </w:rPr>
        <w:t xml:space="preserve"> milliards de US $ en 2013 à 2,2 milliards de US $ en 2018.</w:t>
      </w:r>
    </w:p>
    <w:p w:rsidR="00C12356" w:rsidRPr="00926C90" w:rsidRDefault="00C12356" w:rsidP="00122C86">
      <w:pPr>
        <w:jc w:val="both"/>
        <w:rPr>
          <w:bCs/>
          <w:sz w:val="24"/>
          <w:szCs w:val="24"/>
        </w:rPr>
      </w:pPr>
      <w:r w:rsidRPr="00926C90">
        <w:rPr>
          <w:bCs/>
          <w:sz w:val="24"/>
          <w:szCs w:val="24"/>
        </w:rPr>
        <w:t xml:space="preserve">Sur </w:t>
      </w:r>
      <w:r w:rsidRPr="00122C86">
        <w:rPr>
          <w:bCs/>
          <w:sz w:val="24"/>
          <w:szCs w:val="24"/>
        </w:rPr>
        <w:t xml:space="preserve">toute </w:t>
      </w:r>
      <w:r w:rsidR="00D419CD" w:rsidRPr="00122C86">
        <w:rPr>
          <w:bCs/>
          <w:sz w:val="24"/>
          <w:szCs w:val="24"/>
        </w:rPr>
        <w:t xml:space="preserve">cette </w:t>
      </w:r>
      <w:r w:rsidRPr="00122C86">
        <w:rPr>
          <w:bCs/>
          <w:sz w:val="24"/>
          <w:szCs w:val="24"/>
        </w:rPr>
        <w:t xml:space="preserve"> période</w:t>
      </w:r>
      <w:r w:rsidRPr="00926C90">
        <w:rPr>
          <w:bCs/>
          <w:sz w:val="24"/>
          <w:szCs w:val="24"/>
        </w:rPr>
        <w:t>, l’Algérie a importé pour une valeur globale de 314,3 milliards de DA alors que la valeur de ses exportations n’était que de 264,1 milliards de US $.</w:t>
      </w:r>
    </w:p>
    <w:p w:rsidR="00C12356" w:rsidRPr="00926C90" w:rsidRDefault="00C12356" w:rsidP="00C12356">
      <w:pPr>
        <w:jc w:val="both"/>
        <w:rPr>
          <w:bCs/>
          <w:iCs/>
          <w:sz w:val="24"/>
          <w:szCs w:val="24"/>
        </w:rPr>
      </w:pPr>
      <w:r w:rsidRPr="00926C90">
        <w:rPr>
          <w:bCs/>
          <w:iCs/>
          <w:sz w:val="24"/>
          <w:szCs w:val="24"/>
        </w:rPr>
        <w:t>Ces niveaux d’importations et d’exportations de marchandises se sont traduits sur la période par des balances commerciales (FOB/FOB) déficitaires exceptée pour l’année 2013 où elle a été excédentaire de 9,9 milliards de US $. Corrélativement, le taux de couverture des importations par les exportations a été de 118% en 2013, puis de 100% en 2014 où la valeur des importations de marchandises a été égale à celle des exportations de marchandises (59,6 milliards de US $) et enfin inférieur à 100 à partir de 2017.</w:t>
      </w:r>
    </w:p>
    <w:p w:rsidR="00C12356" w:rsidRPr="00926C90" w:rsidRDefault="00C12356" w:rsidP="00122C86">
      <w:pPr>
        <w:jc w:val="both"/>
        <w:rPr>
          <w:bCs/>
          <w:iCs/>
          <w:sz w:val="24"/>
          <w:szCs w:val="24"/>
        </w:rPr>
      </w:pPr>
      <w:r w:rsidRPr="00926C90">
        <w:rPr>
          <w:bCs/>
          <w:iCs/>
          <w:sz w:val="24"/>
          <w:szCs w:val="24"/>
        </w:rPr>
        <w:t xml:space="preserve">Pour ce qui est du commerce de </w:t>
      </w:r>
      <w:r w:rsidRPr="00122C86">
        <w:rPr>
          <w:bCs/>
          <w:iCs/>
          <w:sz w:val="24"/>
          <w:szCs w:val="24"/>
        </w:rPr>
        <w:t>services non-facteurs, il est structurellement</w:t>
      </w:r>
      <w:r w:rsidRPr="00926C90">
        <w:rPr>
          <w:bCs/>
          <w:iCs/>
          <w:sz w:val="24"/>
          <w:szCs w:val="24"/>
        </w:rPr>
        <w:t xml:space="preserve"> déficitaire sur toute la période avec une moyenne de 7,7 milliards de US $. Nous relèverons </w:t>
      </w:r>
      <w:r w:rsidR="00D419CD" w:rsidRPr="00122C86">
        <w:rPr>
          <w:bCs/>
          <w:iCs/>
          <w:sz w:val="24"/>
          <w:szCs w:val="24"/>
        </w:rPr>
        <w:t>durant cette</w:t>
      </w:r>
      <w:r w:rsidR="00D419CD">
        <w:rPr>
          <w:bCs/>
          <w:iCs/>
          <w:sz w:val="24"/>
          <w:szCs w:val="24"/>
        </w:rPr>
        <w:t xml:space="preserve"> </w:t>
      </w:r>
      <w:r w:rsidRPr="00926C90">
        <w:rPr>
          <w:bCs/>
          <w:iCs/>
          <w:sz w:val="24"/>
          <w:szCs w:val="24"/>
        </w:rPr>
        <w:t>période la stabilité des exportations de services autour de 3,3 milliards de US $, soit un niveau équivalent à deux fois celui des exportations de marchandises hors hydrocarbures. La valeur moyenne des importations de services est de 11,1 milliards de US $.</w:t>
      </w:r>
    </w:p>
    <w:p w:rsidR="00C12356" w:rsidRPr="00926C90" w:rsidRDefault="00C12356" w:rsidP="00122C86">
      <w:pPr>
        <w:jc w:val="both"/>
        <w:rPr>
          <w:bCs/>
          <w:sz w:val="24"/>
          <w:szCs w:val="24"/>
        </w:rPr>
      </w:pPr>
      <w:r w:rsidRPr="00926C90">
        <w:rPr>
          <w:bCs/>
          <w:iCs/>
          <w:sz w:val="24"/>
          <w:szCs w:val="24"/>
        </w:rPr>
        <w:t>Le compte du revenu du capital est</w:t>
      </w:r>
      <w:r w:rsidR="00122C86">
        <w:rPr>
          <w:bCs/>
          <w:iCs/>
          <w:sz w:val="24"/>
          <w:szCs w:val="24"/>
        </w:rPr>
        <w:t>,</w:t>
      </w:r>
      <w:r w:rsidRPr="00926C90">
        <w:rPr>
          <w:bCs/>
          <w:iCs/>
          <w:sz w:val="24"/>
          <w:szCs w:val="24"/>
        </w:rPr>
        <w:t xml:space="preserve"> également</w:t>
      </w:r>
      <w:r w:rsidR="00122C86">
        <w:rPr>
          <w:bCs/>
          <w:iCs/>
          <w:sz w:val="24"/>
          <w:szCs w:val="24"/>
        </w:rPr>
        <w:t>,</w:t>
      </w:r>
      <w:r w:rsidRPr="00926C90">
        <w:rPr>
          <w:bCs/>
          <w:iCs/>
          <w:sz w:val="24"/>
          <w:szCs w:val="24"/>
        </w:rPr>
        <w:t xml:space="preserve"> déficitaire sur la période puisque les intérêts versés constituent plus du double des intérêts reçus. </w:t>
      </w:r>
      <w:r w:rsidRPr="00926C90">
        <w:rPr>
          <w:bCs/>
          <w:sz w:val="24"/>
          <w:szCs w:val="24"/>
        </w:rPr>
        <w:t>En effet, l’Algérie a remboursé à ses principaux créanciers 37,3 milliards de US $ d’intérêts sur la période. Par contre, elle n’a reçu que 15 milliards d’intérêt sur la même période. .</w:t>
      </w:r>
    </w:p>
    <w:p w:rsidR="00C12356" w:rsidRPr="00926C90" w:rsidRDefault="00C12356" w:rsidP="00C12356">
      <w:pPr>
        <w:jc w:val="both"/>
        <w:rPr>
          <w:bCs/>
          <w:iCs/>
          <w:sz w:val="24"/>
          <w:szCs w:val="24"/>
        </w:rPr>
      </w:pPr>
      <w:r w:rsidRPr="00926C90">
        <w:rPr>
          <w:bCs/>
          <w:iCs/>
          <w:sz w:val="24"/>
          <w:szCs w:val="24"/>
        </w:rPr>
        <w:t>Les transferts nets demeurent positifs avec une moyenne de 3,1 milliards de US $ sur la période.</w:t>
      </w:r>
    </w:p>
    <w:p w:rsidR="00C12356" w:rsidRPr="00926C90" w:rsidRDefault="00C12356" w:rsidP="00C12356">
      <w:pPr>
        <w:jc w:val="both"/>
        <w:rPr>
          <w:bCs/>
          <w:iCs/>
          <w:sz w:val="24"/>
          <w:szCs w:val="24"/>
        </w:rPr>
      </w:pPr>
      <w:r w:rsidRPr="00926C90">
        <w:rPr>
          <w:bCs/>
          <w:iCs/>
          <w:sz w:val="24"/>
          <w:szCs w:val="24"/>
        </w:rPr>
        <w:t>Ces différents soldes intermédiaires ont eu comme résultante un compte courant de la balance des paiements qui affiche sur la période des solde déficitaires exception faite de l’année 2013 où il a été de excédentaire de 1,2 milliards de US $.</w:t>
      </w:r>
    </w:p>
    <w:p w:rsidR="00C12356" w:rsidRPr="00926C90" w:rsidRDefault="00C12356" w:rsidP="00C12356">
      <w:pPr>
        <w:pStyle w:val="BodyText3"/>
        <w:rPr>
          <w:rFonts w:ascii="Calibri" w:eastAsia="Calibri" w:hAnsi="Calibri" w:cs="Arial"/>
          <w:bCs/>
          <w:iCs/>
          <w:sz w:val="24"/>
          <w:szCs w:val="24"/>
          <w:lang w:eastAsia="en-US"/>
        </w:rPr>
      </w:pPr>
      <w:r w:rsidRPr="00926C90">
        <w:rPr>
          <w:rFonts w:ascii="Calibri" w:eastAsia="Calibri" w:hAnsi="Calibri" w:cs="Arial"/>
          <w:bCs/>
          <w:iCs/>
          <w:sz w:val="24"/>
          <w:szCs w:val="24"/>
          <w:lang w:eastAsia="en-US"/>
        </w:rPr>
        <w:lastRenderedPageBreak/>
        <w:t>Excepté pour l’année 2016, les investissements nets so</w:t>
      </w:r>
      <w:r w:rsidR="00E805E0">
        <w:rPr>
          <w:rFonts w:ascii="Calibri" w:eastAsia="Calibri" w:hAnsi="Calibri" w:cs="Arial"/>
          <w:bCs/>
          <w:iCs/>
          <w:sz w:val="24"/>
          <w:szCs w:val="24"/>
          <w:lang w:eastAsia="en-US"/>
        </w:rPr>
        <w:t>nt positifs avec une moyenne d</w:t>
      </w:r>
      <w:r w:rsidR="00E805E0" w:rsidRPr="00E805E0">
        <w:rPr>
          <w:rFonts w:ascii="Calibri" w:eastAsia="Calibri" w:hAnsi="Calibri" w:cs="Arial"/>
          <w:bCs/>
          <w:iCs/>
          <w:color w:val="FF0000"/>
          <w:sz w:val="24"/>
          <w:szCs w:val="24"/>
          <w:lang w:eastAsia="en-US"/>
        </w:rPr>
        <w:t>’</w:t>
      </w:r>
      <w:r w:rsidRPr="00E805E0">
        <w:rPr>
          <w:rFonts w:ascii="Calibri" w:eastAsia="Calibri" w:hAnsi="Calibri" w:cs="Arial"/>
          <w:bCs/>
          <w:iCs/>
          <w:color w:val="FF0000"/>
          <w:sz w:val="24"/>
          <w:szCs w:val="24"/>
          <w:lang w:eastAsia="en-US"/>
        </w:rPr>
        <w:t>u</w:t>
      </w:r>
      <w:r w:rsidRPr="00926C90">
        <w:rPr>
          <w:rFonts w:ascii="Calibri" w:eastAsia="Calibri" w:hAnsi="Calibri" w:cs="Arial"/>
          <w:bCs/>
          <w:iCs/>
          <w:sz w:val="24"/>
          <w:szCs w:val="24"/>
          <w:lang w:eastAsia="en-US"/>
        </w:rPr>
        <w:t>n (01) milliards de US $ mais affichent tout de même une tendance baissière puisqu’ils passent de deux (02) milliards de US $ en 2013 à 630 milliards de US $ en 2018.</w:t>
      </w:r>
    </w:p>
    <w:p w:rsidR="00C12356" w:rsidRPr="00926C90" w:rsidRDefault="00C12356" w:rsidP="00C12356">
      <w:pPr>
        <w:pStyle w:val="BodyText3"/>
        <w:rPr>
          <w:rFonts w:ascii="Calibri" w:eastAsia="Calibri" w:hAnsi="Calibri" w:cs="Arial"/>
          <w:bCs/>
          <w:iCs/>
          <w:sz w:val="24"/>
          <w:szCs w:val="24"/>
          <w:lang w:eastAsia="en-US"/>
        </w:rPr>
      </w:pPr>
    </w:p>
    <w:p w:rsidR="00C12356" w:rsidRPr="00926C90" w:rsidRDefault="00C12356" w:rsidP="00C12356">
      <w:pPr>
        <w:jc w:val="both"/>
        <w:rPr>
          <w:bCs/>
          <w:iCs/>
          <w:sz w:val="24"/>
          <w:szCs w:val="24"/>
        </w:rPr>
      </w:pPr>
      <w:r w:rsidRPr="00926C90">
        <w:rPr>
          <w:bCs/>
          <w:iCs/>
          <w:sz w:val="24"/>
          <w:szCs w:val="24"/>
        </w:rPr>
        <w:t xml:space="preserve">Le compte des emprunts nets à Moyen et Long Terme affiche tantôt un solde positif et tantôt négatif reste en 2001 déficitaire de 1.990 millions de US $, contre un déficit de 1.960 millions d US $ en 2000. </w:t>
      </w:r>
    </w:p>
    <w:p w:rsidR="00C12356" w:rsidRPr="00926C90" w:rsidRDefault="00C12356" w:rsidP="00C12356">
      <w:pPr>
        <w:jc w:val="both"/>
        <w:rPr>
          <w:bCs/>
          <w:iCs/>
          <w:sz w:val="24"/>
          <w:szCs w:val="24"/>
        </w:rPr>
      </w:pPr>
      <w:r w:rsidRPr="00926C90">
        <w:rPr>
          <w:bCs/>
          <w:iCs/>
          <w:sz w:val="24"/>
          <w:szCs w:val="24"/>
        </w:rPr>
        <w:t>De ce fait et en dehors de l’année 2013, le solde de la balance des paiements est déficitaire et est assimilable à un besoin de financement de la nation.</w:t>
      </w:r>
    </w:p>
    <w:p w:rsidR="00C12356" w:rsidRDefault="00C12356" w:rsidP="00C12356">
      <w:pPr>
        <w:jc w:val="both"/>
        <w:rPr>
          <w:noProof/>
          <w:lang w:eastAsia="fr-FR"/>
        </w:rPr>
      </w:pPr>
    </w:p>
    <w:p w:rsidR="007E638F" w:rsidRDefault="007E638F" w:rsidP="00C12356">
      <w:pPr>
        <w:jc w:val="both"/>
        <w:rPr>
          <w:noProof/>
          <w:lang w:eastAsia="fr-FR"/>
        </w:rPr>
        <w:sectPr w:rsidR="007E638F" w:rsidSect="008E583B">
          <w:type w:val="continuous"/>
          <w:pgSz w:w="11906" w:h="16838"/>
          <w:pgMar w:top="1417" w:right="1417" w:bottom="1417" w:left="1417"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pPr>
    </w:p>
    <w:p w:rsidR="00C12356" w:rsidRDefault="00CD55AD" w:rsidP="00C12356">
      <w:pPr>
        <w:jc w:val="both"/>
        <w:rPr>
          <w:rFonts w:ascii="Arial" w:hAnsi="Arial"/>
          <w:bCs/>
          <w:iCs/>
          <w:highlight w:val="yellow"/>
        </w:rPr>
      </w:pPr>
      <w:r>
        <w:rPr>
          <w:noProof/>
          <w:lang w:eastAsia="fr-FR"/>
        </w:rPr>
        <w:drawing>
          <wp:inline distT="0" distB="0" distL="0" distR="0">
            <wp:extent cx="2829928" cy="2393809"/>
            <wp:effectExtent l="12197" t="12198" r="17915" b="15248"/>
            <wp:docPr id="8"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12356" w:rsidRDefault="00CD55AD" w:rsidP="00C12356">
      <w:pPr>
        <w:jc w:val="both"/>
        <w:rPr>
          <w:bCs/>
          <w:iCs/>
        </w:rPr>
      </w:pPr>
      <w:r>
        <w:rPr>
          <w:noProof/>
          <w:lang w:eastAsia="fr-FR"/>
        </w:rPr>
        <w:drawing>
          <wp:inline distT="0" distB="0" distL="0" distR="0">
            <wp:extent cx="2829928" cy="2291057"/>
            <wp:effectExtent l="12197" t="12202" r="17915" b="15761"/>
            <wp:docPr id="9"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12356" w:rsidRDefault="00CD55AD" w:rsidP="00C12356">
      <w:pPr>
        <w:jc w:val="both"/>
        <w:rPr>
          <w:noProof/>
          <w:lang w:eastAsia="fr-FR"/>
        </w:rPr>
      </w:pPr>
      <w:r>
        <w:rPr>
          <w:noProof/>
          <w:lang w:eastAsia="fr-FR"/>
        </w:rPr>
        <w:drawing>
          <wp:inline distT="0" distB="0" distL="0" distR="0">
            <wp:extent cx="2996845" cy="2393809"/>
            <wp:effectExtent l="12179" t="12198" r="12306" b="15248"/>
            <wp:docPr id="10"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12356" w:rsidRDefault="00CD55AD" w:rsidP="00C12356">
      <w:pPr>
        <w:jc w:val="both"/>
        <w:rPr>
          <w:noProof/>
          <w:lang w:eastAsia="fr-FR"/>
        </w:rPr>
        <w:sectPr w:rsidR="00C12356" w:rsidSect="008E583B">
          <w:type w:val="continuous"/>
          <w:pgSz w:w="11906" w:h="16838"/>
          <w:pgMar w:top="1417" w:right="1417" w:bottom="1417" w:left="1417" w:header="708" w:footer="708" w:gutter="0"/>
          <w:pgBorders w:offsetFrom="page">
            <w:top w:val="pushPinNote1" w:sz="10" w:space="24" w:color="auto"/>
            <w:left w:val="pushPinNote1" w:sz="10" w:space="24" w:color="auto"/>
            <w:bottom w:val="pushPinNote1" w:sz="10" w:space="24" w:color="auto"/>
            <w:right w:val="pushPinNote1" w:sz="10" w:space="24" w:color="auto"/>
          </w:pgBorders>
          <w:cols w:num="2" w:space="708"/>
          <w:docGrid w:linePitch="360"/>
        </w:sectPr>
      </w:pPr>
      <w:r>
        <w:rPr>
          <w:noProof/>
          <w:lang w:eastAsia="fr-FR"/>
        </w:rPr>
        <w:drawing>
          <wp:inline distT="0" distB="0" distL="0" distR="0">
            <wp:extent cx="3008757" cy="2301468"/>
            <wp:effectExtent l="12192" t="12205" r="14986" b="12332"/>
            <wp:docPr id="1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E638F" w:rsidRPr="007E638F" w:rsidRDefault="007E638F" w:rsidP="00C12356">
      <w:pPr>
        <w:jc w:val="both"/>
        <w:rPr>
          <w:b/>
          <w:bCs/>
          <w:sz w:val="14"/>
          <w:szCs w:val="14"/>
        </w:rPr>
      </w:pPr>
    </w:p>
    <w:p w:rsidR="00C12356" w:rsidRDefault="00C12356" w:rsidP="00C12356">
      <w:pPr>
        <w:jc w:val="both"/>
        <w:rPr>
          <w:b/>
          <w:bCs/>
          <w:sz w:val="24"/>
          <w:szCs w:val="24"/>
        </w:rPr>
      </w:pPr>
      <w:r>
        <w:rPr>
          <w:b/>
          <w:bCs/>
          <w:sz w:val="24"/>
          <w:szCs w:val="24"/>
        </w:rPr>
        <w:t>4</w:t>
      </w:r>
      <w:r w:rsidRPr="00DC5C47">
        <w:rPr>
          <w:b/>
          <w:bCs/>
          <w:sz w:val="24"/>
          <w:szCs w:val="24"/>
        </w:rPr>
        <w:t>-</w:t>
      </w:r>
      <w:r>
        <w:rPr>
          <w:b/>
          <w:bCs/>
          <w:sz w:val="24"/>
          <w:szCs w:val="24"/>
        </w:rPr>
        <w:t xml:space="preserve"> </w:t>
      </w:r>
      <w:r w:rsidRPr="00DC5C47">
        <w:rPr>
          <w:b/>
          <w:bCs/>
          <w:sz w:val="24"/>
          <w:szCs w:val="24"/>
        </w:rPr>
        <w:t>L’inflation</w:t>
      </w:r>
    </w:p>
    <w:p w:rsidR="00E805E0" w:rsidRDefault="001104DC" w:rsidP="00E805E0">
      <w:pPr>
        <w:jc w:val="both"/>
        <w:rPr>
          <w:sz w:val="24"/>
          <w:szCs w:val="24"/>
        </w:rPr>
      </w:pPr>
      <w:r w:rsidRPr="001104DC">
        <w:rPr>
          <w:sz w:val="24"/>
          <w:szCs w:val="24"/>
        </w:rPr>
        <w:t xml:space="preserve">Concernant l’inflation, l’indice des prix à la consommation a connu deux tendances contrastées : une première tendance haussière de 2013 à 2016 où il s’est établi à 6,4% en 2016 puis une seconde tendance baissière où le rythme des prix ont commencé à décélérer à partir de 2017 pour s’établir à 1,95 en 2019. </w:t>
      </w:r>
    </w:p>
    <w:p w:rsidR="001104DC" w:rsidRPr="001104DC" w:rsidRDefault="001104DC" w:rsidP="00E805E0">
      <w:pPr>
        <w:jc w:val="both"/>
        <w:rPr>
          <w:sz w:val="24"/>
          <w:szCs w:val="24"/>
        </w:rPr>
      </w:pPr>
      <w:r w:rsidRPr="001104DC">
        <w:rPr>
          <w:sz w:val="24"/>
          <w:szCs w:val="24"/>
        </w:rPr>
        <w:lastRenderedPageBreak/>
        <w:t>L’inflation moyenne sur la période a été contenue à 4,2%. Il est à noter que le taux d’inflation de l’année 2019 (1,95%) reste l’un des plus faibles au cours de la dernière décennie.</w:t>
      </w:r>
    </w:p>
    <w:p w:rsidR="001104DC" w:rsidRPr="001104DC" w:rsidRDefault="001104DC" w:rsidP="001104DC">
      <w:pPr>
        <w:jc w:val="both"/>
        <w:rPr>
          <w:sz w:val="24"/>
          <w:szCs w:val="24"/>
        </w:rPr>
      </w:pPr>
      <w:r w:rsidRPr="001104DC">
        <w:rPr>
          <w:sz w:val="24"/>
          <w:szCs w:val="24"/>
        </w:rPr>
        <w:t>En moyenne, les prix des produits alimentaires ont augmenté de 3,3% au cours de la période considérée alors que ceux du groupe « habillement-chaussures » ont connu une hausse relativement importante avec un taux moyen de 8,3%. En outre, les prix de services ont enregistré une hausse moyenne de 5,0% sur la période considérée.</w:t>
      </w:r>
    </w:p>
    <w:p w:rsidR="00C12356" w:rsidRDefault="00C12356" w:rsidP="00C12356">
      <w:pPr>
        <w:jc w:val="both"/>
        <w:rPr>
          <w:noProof/>
          <w:lang w:eastAsia="fr-FR"/>
        </w:rPr>
        <w:sectPr w:rsidR="00C12356" w:rsidSect="008E583B">
          <w:type w:val="continuous"/>
          <w:pgSz w:w="11906" w:h="16838"/>
          <w:pgMar w:top="1417" w:right="1417" w:bottom="1417" w:left="1417"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pPr>
    </w:p>
    <w:p w:rsidR="00C12356" w:rsidRDefault="00CD55AD" w:rsidP="00C12356">
      <w:pPr>
        <w:jc w:val="both"/>
        <w:rPr>
          <w:sz w:val="24"/>
          <w:szCs w:val="24"/>
        </w:rPr>
      </w:pPr>
      <w:r>
        <w:rPr>
          <w:noProof/>
          <w:lang w:eastAsia="fr-FR"/>
        </w:rPr>
        <w:drawing>
          <wp:inline distT="0" distB="0" distL="0" distR="0">
            <wp:extent cx="2406650" cy="2106930"/>
            <wp:effectExtent l="19050" t="0" r="0" b="0"/>
            <wp:docPr id="12" name="Graphiqu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1"/>
                    <pic:cNvPicPr>
                      <a:picLocks noChangeArrowheads="1"/>
                    </pic:cNvPicPr>
                  </pic:nvPicPr>
                  <pic:blipFill>
                    <a:blip r:embed="rId20"/>
                    <a:srcRect/>
                    <a:stretch>
                      <a:fillRect/>
                    </a:stretch>
                  </pic:blipFill>
                  <pic:spPr bwMode="auto">
                    <a:xfrm>
                      <a:off x="0" y="0"/>
                      <a:ext cx="2406650" cy="2106930"/>
                    </a:xfrm>
                    <a:prstGeom prst="rect">
                      <a:avLst/>
                    </a:prstGeom>
                    <a:noFill/>
                    <a:ln w="9525">
                      <a:noFill/>
                      <a:miter lim="800000"/>
                      <a:headEnd/>
                      <a:tailEnd/>
                    </a:ln>
                  </pic:spPr>
                </pic:pic>
              </a:graphicData>
            </a:graphic>
          </wp:inline>
        </w:drawing>
      </w:r>
    </w:p>
    <w:p w:rsidR="003147F9" w:rsidRDefault="00CD55AD" w:rsidP="00C12356">
      <w:pPr>
        <w:jc w:val="both"/>
        <w:rPr>
          <w:sz w:val="24"/>
          <w:szCs w:val="24"/>
        </w:rPr>
      </w:pPr>
      <w:r>
        <w:rPr>
          <w:noProof/>
          <w:lang w:eastAsia="fr-FR"/>
        </w:rPr>
        <w:drawing>
          <wp:inline distT="0" distB="0" distL="0" distR="0">
            <wp:extent cx="2399665" cy="2267585"/>
            <wp:effectExtent l="19050" t="0" r="635" b="0"/>
            <wp:docPr id="13" name="Graphiqu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2"/>
                    <pic:cNvPicPr>
                      <a:picLocks noChangeArrowheads="1"/>
                    </pic:cNvPicPr>
                  </pic:nvPicPr>
                  <pic:blipFill>
                    <a:blip r:embed="rId21"/>
                    <a:srcRect/>
                    <a:stretch>
                      <a:fillRect/>
                    </a:stretch>
                  </pic:blipFill>
                  <pic:spPr bwMode="auto">
                    <a:xfrm>
                      <a:off x="0" y="0"/>
                      <a:ext cx="2399665" cy="2267585"/>
                    </a:xfrm>
                    <a:prstGeom prst="rect">
                      <a:avLst/>
                    </a:prstGeom>
                    <a:noFill/>
                    <a:ln w="9525">
                      <a:noFill/>
                      <a:miter lim="800000"/>
                      <a:headEnd/>
                      <a:tailEnd/>
                    </a:ln>
                  </pic:spPr>
                </pic:pic>
              </a:graphicData>
            </a:graphic>
          </wp:inline>
        </w:drawing>
      </w:r>
    </w:p>
    <w:p w:rsidR="00C12356" w:rsidRDefault="00C12356" w:rsidP="00C12356">
      <w:pPr>
        <w:jc w:val="both"/>
        <w:rPr>
          <w:noProof/>
          <w:lang w:eastAsia="fr-FR"/>
        </w:rPr>
        <w:sectPr w:rsidR="00C12356" w:rsidSect="008E583B">
          <w:type w:val="continuous"/>
          <w:pgSz w:w="11906" w:h="16838"/>
          <w:pgMar w:top="1417" w:right="1417" w:bottom="1417" w:left="1417" w:header="708" w:footer="708" w:gutter="0"/>
          <w:pgBorders w:offsetFrom="page">
            <w:top w:val="pushPinNote1" w:sz="10" w:space="24" w:color="auto"/>
            <w:left w:val="pushPinNote1" w:sz="10" w:space="24" w:color="auto"/>
            <w:bottom w:val="pushPinNote1" w:sz="10" w:space="24" w:color="auto"/>
            <w:right w:val="pushPinNote1" w:sz="10" w:space="24" w:color="auto"/>
          </w:pgBorders>
          <w:cols w:num="2" w:space="708"/>
          <w:docGrid w:linePitch="360"/>
        </w:sectPr>
      </w:pPr>
    </w:p>
    <w:p w:rsidR="00C12356" w:rsidRPr="00DC5C47" w:rsidRDefault="00C12356" w:rsidP="00C12356">
      <w:pPr>
        <w:jc w:val="both"/>
        <w:rPr>
          <w:b/>
          <w:bCs/>
          <w:sz w:val="24"/>
          <w:szCs w:val="24"/>
        </w:rPr>
      </w:pPr>
      <w:r>
        <w:rPr>
          <w:b/>
          <w:bCs/>
          <w:sz w:val="24"/>
          <w:szCs w:val="24"/>
        </w:rPr>
        <w:t>5</w:t>
      </w:r>
      <w:r w:rsidRPr="00DC5C47">
        <w:rPr>
          <w:b/>
          <w:bCs/>
          <w:sz w:val="24"/>
          <w:szCs w:val="24"/>
        </w:rPr>
        <w:t>- La population</w:t>
      </w:r>
    </w:p>
    <w:p w:rsidR="00C12356" w:rsidRPr="00A73DA3" w:rsidRDefault="00C12356" w:rsidP="00C12356">
      <w:pPr>
        <w:jc w:val="both"/>
        <w:rPr>
          <w:sz w:val="24"/>
          <w:szCs w:val="24"/>
        </w:rPr>
      </w:pPr>
      <w:r w:rsidRPr="00A73DA3">
        <w:rPr>
          <w:sz w:val="24"/>
          <w:szCs w:val="24"/>
        </w:rPr>
        <w:t>La population algérienne résidente est passée de 38,3 millions d’habitants en 2013 à 42,6 millions d’habitants en 2018, soit un accroissement naturel de 4,3 millions d’habitant sur la période</w:t>
      </w:r>
      <w:r>
        <w:rPr>
          <w:sz w:val="24"/>
          <w:szCs w:val="24"/>
        </w:rPr>
        <w:t>.</w:t>
      </w:r>
      <w:r w:rsidRPr="00A73DA3">
        <w:rPr>
          <w:sz w:val="24"/>
          <w:szCs w:val="24"/>
        </w:rPr>
        <w:t xml:space="preserve"> Elle est estimée à 43,9 millions d’habitant</w:t>
      </w:r>
      <w:r>
        <w:rPr>
          <w:sz w:val="24"/>
          <w:szCs w:val="24"/>
        </w:rPr>
        <w:t>s</w:t>
      </w:r>
      <w:r w:rsidRPr="00A73DA3">
        <w:rPr>
          <w:sz w:val="24"/>
          <w:szCs w:val="24"/>
        </w:rPr>
        <w:t xml:space="preserve"> au 1</w:t>
      </w:r>
      <w:r w:rsidRPr="00A73DA3">
        <w:rPr>
          <w:sz w:val="24"/>
          <w:szCs w:val="24"/>
          <w:vertAlign w:val="superscript"/>
        </w:rPr>
        <w:t>er</w:t>
      </w:r>
      <w:r w:rsidRPr="00A73DA3">
        <w:rPr>
          <w:sz w:val="24"/>
          <w:szCs w:val="24"/>
        </w:rPr>
        <w:t xml:space="preserve"> janvier 2020. </w:t>
      </w:r>
      <w:r>
        <w:rPr>
          <w:sz w:val="24"/>
          <w:szCs w:val="24"/>
        </w:rPr>
        <w:t>Les projections indiquent que la population algérienne résidente serait de l’ordre de 51,3 millions d’habitants en 2030 et de 57,6 millions d’habitants en 2040.</w:t>
      </w:r>
    </w:p>
    <w:p w:rsidR="00C12356" w:rsidRDefault="00C12356" w:rsidP="00C12356">
      <w:pPr>
        <w:jc w:val="both"/>
        <w:rPr>
          <w:sz w:val="24"/>
          <w:szCs w:val="24"/>
        </w:rPr>
      </w:pPr>
      <w:r w:rsidRPr="00A73DA3">
        <w:rPr>
          <w:sz w:val="24"/>
          <w:szCs w:val="24"/>
        </w:rPr>
        <w:t xml:space="preserve">Le taux d’accroissement naturel de la population a connu une certaine hausse à partir de 2014 jusqu’à 2016 pour </w:t>
      </w:r>
      <w:r w:rsidRPr="00122C86">
        <w:rPr>
          <w:sz w:val="24"/>
          <w:szCs w:val="24"/>
        </w:rPr>
        <w:t>décélér</w:t>
      </w:r>
      <w:r w:rsidR="00E3323B" w:rsidRPr="00122C86">
        <w:rPr>
          <w:sz w:val="24"/>
          <w:szCs w:val="24"/>
        </w:rPr>
        <w:t>er</w:t>
      </w:r>
      <w:r w:rsidRPr="00122C86">
        <w:rPr>
          <w:sz w:val="24"/>
          <w:szCs w:val="24"/>
        </w:rPr>
        <w:t xml:space="preserve"> à partir</w:t>
      </w:r>
      <w:r w:rsidRPr="00A73DA3">
        <w:rPr>
          <w:sz w:val="24"/>
          <w:szCs w:val="24"/>
        </w:rPr>
        <w:t xml:space="preserve"> de 2017 et arriver en 2018 à un niveau légèrement inférieur à celui observé en 2013.</w:t>
      </w:r>
      <w:r>
        <w:rPr>
          <w:sz w:val="24"/>
          <w:szCs w:val="24"/>
        </w:rPr>
        <w:t xml:space="preserve"> Le nombre de naissances vivantes est passé de 963.000 en 2013 à 1.038.000 en 2018. Sur la période, la moyenne des naissances est de 1.023.000.</w:t>
      </w:r>
    </w:p>
    <w:p w:rsidR="00C12356" w:rsidRDefault="00C12356" w:rsidP="00C12356">
      <w:pPr>
        <w:jc w:val="both"/>
        <w:rPr>
          <w:sz w:val="24"/>
          <w:szCs w:val="24"/>
        </w:rPr>
      </w:pPr>
      <w:r>
        <w:rPr>
          <w:sz w:val="24"/>
          <w:szCs w:val="24"/>
        </w:rPr>
        <w:t xml:space="preserve">Le nombre de décès est passé de 168.000 en 2003 à 193.000 en 2018 avec une moyenne de 181.000. </w:t>
      </w:r>
    </w:p>
    <w:p w:rsidR="00C12356" w:rsidRDefault="00C12356" w:rsidP="00C12356">
      <w:pPr>
        <w:jc w:val="both"/>
        <w:rPr>
          <w:sz w:val="24"/>
          <w:szCs w:val="24"/>
        </w:rPr>
      </w:pPr>
      <w:r>
        <w:rPr>
          <w:sz w:val="24"/>
          <w:szCs w:val="24"/>
        </w:rPr>
        <w:t xml:space="preserve">En dépit d’une légère augmentation du </w:t>
      </w:r>
      <w:r w:rsidRPr="00FF6B96">
        <w:rPr>
          <w:b/>
          <w:sz w:val="24"/>
          <w:szCs w:val="24"/>
        </w:rPr>
        <w:t>taux brut de mortalité</w:t>
      </w:r>
      <w:r>
        <w:rPr>
          <w:sz w:val="24"/>
          <w:szCs w:val="24"/>
        </w:rPr>
        <w:t xml:space="preserve"> passant de 4,39% en 2013 à 4,53% en 2018, certains indicateurs spécifiques de mortalité se sont améliorés de manière significative. C’est le cas par exemple du </w:t>
      </w:r>
      <w:r w:rsidRPr="00FF6B96">
        <w:rPr>
          <w:b/>
          <w:sz w:val="24"/>
          <w:szCs w:val="24"/>
        </w:rPr>
        <w:t>taux de mortalité infantile</w:t>
      </w:r>
      <w:r>
        <w:rPr>
          <w:sz w:val="24"/>
          <w:szCs w:val="24"/>
        </w:rPr>
        <w:t xml:space="preserve"> qui est passé de 22,4</w:t>
      </w:r>
      <w:r w:rsidRPr="00A84924">
        <w:rPr>
          <w:sz w:val="24"/>
          <w:szCs w:val="24"/>
        </w:rPr>
        <w:t>‰ en 2013 à 21‰ en 2018.</w:t>
      </w:r>
      <w:r>
        <w:rPr>
          <w:sz w:val="24"/>
          <w:szCs w:val="24"/>
        </w:rPr>
        <w:t xml:space="preserve"> C’est également le cas du </w:t>
      </w:r>
      <w:r w:rsidRPr="00FF6B96">
        <w:rPr>
          <w:b/>
          <w:sz w:val="24"/>
          <w:szCs w:val="24"/>
        </w:rPr>
        <w:t>quotient de mortalité infanto-juvénile</w:t>
      </w:r>
      <w:r>
        <w:rPr>
          <w:sz w:val="24"/>
          <w:szCs w:val="24"/>
        </w:rPr>
        <w:t xml:space="preserve"> qui a été déduit de près de 2 point sur mille pour se situer à 24,2</w:t>
      </w:r>
      <w:r w:rsidRPr="00A84924">
        <w:rPr>
          <w:sz w:val="24"/>
          <w:szCs w:val="24"/>
        </w:rPr>
        <w:t>‰</w:t>
      </w:r>
      <w:r>
        <w:rPr>
          <w:sz w:val="24"/>
          <w:szCs w:val="24"/>
        </w:rPr>
        <w:t xml:space="preserve"> en 2018 après avoir été de 26,1</w:t>
      </w:r>
      <w:r w:rsidRPr="00A84924">
        <w:rPr>
          <w:sz w:val="24"/>
          <w:szCs w:val="24"/>
        </w:rPr>
        <w:t>‰</w:t>
      </w:r>
      <w:r>
        <w:rPr>
          <w:sz w:val="24"/>
          <w:szCs w:val="24"/>
        </w:rPr>
        <w:t xml:space="preserve"> en 2013. Nous pouvons citer également le cas du </w:t>
      </w:r>
      <w:r w:rsidRPr="00FF6B96">
        <w:rPr>
          <w:b/>
          <w:sz w:val="24"/>
          <w:szCs w:val="24"/>
        </w:rPr>
        <w:t>taux de mortinatalité</w:t>
      </w:r>
      <w:r>
        <w:rPr>
          <w:sz w:val="24"/>
          <w:szCs w:val="24"/>
        </w:rPr>
        <w:t xml:space="preserve"> qui a connu une baisse marquée passant de 15,4</w:t>
      </w:r>
      <w:r w:rsidRPr="00A84924">
        <w:rPr>
          <w:sz w:val="24"/>
          <w:szCs w:val="24"/>
        </w:rPr>
        <w:t>‰</w:t>
      </w:r>
      <w:r>
        <w:rPr>
          <w:sz w:val="24"/>
          <w:szCs w:val="24"/>
        </w:rPr>
        <w:t xml:space="preserve"> en 2013 à 12,1</w:t>
      </w:r>
      <w:r w:rsidRPr="00A84924">
        <w:rPr>
          <w:sz w:val="24"/>
          <w:szCs w:val="24"/>
        </w:rPr>
        <w:t>‰</w:t>
      </w:r>
      <w:r>
        <w:rPr>
          <w:sz w:val="24"/>
          <w:szCs w:val="24"/>
        </w:rPr>
        <w:t>.</w:t>
      </w:r>
    </w:p>
    <w:p w:rsidR="00C12356" w:rsidRDefault="00C12356" w:rsidP="00C12356">
      <w:pPr>
        <w:jc w:val="both"/>
        <w:rPr>
          <w:sz w:val="24"/>
          <w:szCs w:val="24"/>
        </w:rPr>
      </w:pPr>
      <w:r>
        <w:rPr>
          <w:sz w:val="24"/>
          <w:szCs w:val="24"/>
        </w:rPr>
        <w:t xml:space="preserve">L’espérance de vie à la naissance s’est améliorée sur la période considérée passant de 77 ans en 2013 à 77,7 ans en 2018. Selon le genre, était en 2018 de 78,4 ans pour les femmes (77,6 ans en 2013) contre 77,1 ans pour les hommes (76,5 ans en 2013). </w:t>
      </w:r>
    </w:p>
    <w:p w:rsidR="00403B66" w:rsidRDefault="00403B66" w:rsidP="00C12356">
      <w:pPr>
        <w:jc w:val="both"/>
        <w:rPr>
          <w:noProof/>
          <w:lang w:eastAsia="fr-FR"/>
        </w:rPr>
        <w:sectPr w:rsidR="00403B66" w:rsidSect="008E583B">
          <w:type w:val="continuous"/>
          <w:pgSz w:w="11906" w:h="16838"/>
          <w:pgMar w:top="1417" w:right="1417" w:bottom="1417" w:left="1417"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pPr>
    </w:p>
    <w:p w:rsidR="00403B66" w:rsidRDefault="00403B66" w:rsidP="00C12356">
      <w:pPr>
        <w:jc w:val="both"/>
        <w:rPr>
          <w:noProof/>
          <w:lang w:eastAsia="fr-FR"/>
        </w:rPr>
        <w:sectPr w:rsidR="00403B66" w:rsidSect="008E583B">
          <w:type w:val="continuous"/>
          <w:pgSz w:w="11906" w:h="16838"/>
          <w:pgMar w:top="1417" w:right="1417" w:bottom="1417" w:left="1417" w:header="708" w:footer="708" w:gutter="0"/>
          <w:pgBorders w:offsetFrom="page">
            <w:top w:val="pushPinNote1" w:sz="10" w:space="24" w:color="auto"/>
            <w:left w:val="pushPinNote1" w:sz="10" w:space="24" w:color="auto"/>
            <w:bottom w:val="pushPinNote1" w:sz="10" w:space="24" w:color="auto"/>
            <w:right w:val="pushPinNote1" w:sz="10" w:space="24" w:color="auto"/>
          </w:pgBorders>
          <w:cols w:num="2" w:space="708"/>
          <w:docGrid w:linePitch="360"/>
        </w:sectPr>
      </w:pPr>
    </w:p>
    <w:p w:rsidR="00C12356" w:rsidRDefault="00CD55AD" w:rsidP="00C12356">
      <w:pPr>
        <w:jc w:val="both"/>
        <w:rPr>
          <w:sz w:val="24"/>
          <w:szCs w:val="24"/>
        </w:rPr>
      </w:pPr>
      <w:r>
        <w:rPr>
          <w:noProof/>
          <w:lang w:eastAsia="fr-FR"/>
        </w:rPr>
        <w:lastRenderedPageBreak/>
        <w:drawing>
          <wp:inline distT="0" distB="0" distL="0" distR="0">
            <wp:extent cx="2812380" cy="1994138"/>
            <wp:effectExtent l="12208" t="12200" r="13862" b="12962"/>
            <wp:docPr id="14"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C12356">
        <w:rPr>
          <w:sz w:val="24"/>
          <w:szCs w:val="24"/>
        </w:rPr>
        <w:t xml:space="preserve"> </w:t>
      </w:r>
      <w:r>
        <w:rPr>
          <w:noProof/>
          <w:lang w:eastAsia="fr-FR"/>
        </w:rPr>
        <w:drawing>
          <wp:inline distT="0" distB="0" distL="0" distR="0">
            <wp:extent cx="2808251" cy="1949204"/>
            <wp:effectExtent l="12181" t="12188" r="18018" b="13458"/>
            <wp:docPr id="15"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12356" w:rsidRDefault="00CD55AD" w:rsidP="00C12356">
      <w:pPr>
        <w:jc w:val="both"/>
        <w:rPr>
          <w:noProof/>
          <w:lang w:eastAsia="fr-FR"/>
        </w:rPr>
      </w:pPr>
      <w:r>
        <w:rPr>
          <w:noProof/>
          <w:lang w:eastAsia="fr-FR"/>
        </w:rPr>
        <w:drawing>
          <wp:inline distT="0" distB="0" distL="0" distR="0">
            <wp:extent cx="2731619" cy="1969297"/>
            <wp:effectExtent l="12203" t="12177" r="13983" b="15601"/>
            <wp:docPr id="16"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12356" w:rsidRDefault="00CD55AD" w:rsidP="00C12356">
      <w:pPr>
        <w:jc w:val="both"/>
        <w:rPr>
          <w:sz w:val="24"/>
          <w:szCs w:val="24"/>
        </w:rPr>
      </w:pPr>
      <w:r>
        <w:rPr>
          <w:noProof/>
          <w:lang w:eastAsia="fr-FR"/>
        </w:rPr>
        <w:drawing>
          <wp:inline distT="0" distB="0" distL="0" distR="0">
            <wp:extent cx="2729719" cy="2067037"/>
            <wp:effectExtent l="12200" t="12199" r="15886" b="13089"/>
            <wp:docPr id="17"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12356" w:rsidRDefault="00C12356" w:rsidP="00C12356">
      <w:pPr>
        <w:jc w:val="both"/>
        <w:rPr>
          <w:sz w:val="24"/>
          <w:szCs w:val="24"/>
        </w:rPr>
        <w:sectPr w:rsidR="00C12356" w:rsidSect="008E583B">
          <w:type w:val="continuous"/>
          <w:pgSz w:w="11906" w:h="16838"/>
          <w:pgMar w:top="1417" w:right="1417" w:bottom="1417" w:left="1417" w:header="708" w:footer="708" w:gutter="0"/>
          <w:pgBorders w:offsetFrom="page">
            <w:top w:val="pushPinNote1" w:sz="10" w:space="24" w:color="auto"/>
            <w:left w:val="pushPinNote1" w:sz="10" w:space="24" w:color="auto"/>
            <w:bottom w:val="pushPinNote1" w:sz="10" w:space="24" w:color="auto"/>
            <w:right w:val="pushPinNote1" w:sz="10" w:space="24" w:color="auto"/>
          </w:pgBorders>
          <w:cols w:num="2" w:space="708"/>
          <w:docGrid w:linePitch="360"/>
        </w:sectPr>
      </w:pPr>
    </w:p>
    <w:p w:rsidR="00B23AC1" w:rsidRDefault="00B23AC1" w:rsidP="00C12356">
      <w:pPr>
        <w:jc w:val="both"/>
        <w:rPr>
          <w:b/>
          <w:bCs/>
          <w:sz w:val="24"/>
          <w:szCs w:val="24"/>
        </w:rPr>
      </w:pPr>
    </w:p>
    <w:p w:rsidR="00C12356" w:rsidRPr="00DC5C47" w:rsidRDefault="00C12356" w:rsidP="00C12356">
      <w:pPr>
        <w:jc w:val="both"/>
        <w:rPr>
          <w:b/>
          <w:bCs/>
          <w:sz w:val="24"/>
          <w:szCs w:val="24"/>
        </w:rPr>
      </w:pPr>
      <w:r>
        <w:rPr>
          <w:b/>
          <w:bCs/>
          <w:sz w:val="24"/>
          <w:szCs w:val="24"/>
        </w:rPr>
        <w:t>6</w:t>
      </w:r>
      <w:r w:rsidRPr="00DC5C47">
        <w:rPr>
          <w:b/>
          <w:bCs/>
          <w:sz w:val="24"/>
          <w:szCs w:val="24"/>
        </w:rPr>
        <w:t xml:space="preserve">- </w:t>
      </w:r>
      <w:r>
        <w:rPr>
          <w:b/>
          <w:bCs/>
          <w:sz w:val="24"/>
          <w:szCs w:val="24"/>
        </w:rPr>
        <w:t>L</w:t>
      </w:r>
      <w:r w:rsidRPr="00DC5C47">
        <w:rPr>
          <w:b/>
          <w:bCs/>
          <w:sz w:val="24"/>
          <w:szCs w:val="24"/>
        </w:rPr>
        <w:t>’Emploi et le chômage</w:t>
      </w:r>
    </w:p>
    <w:p w:rsidR="00C12356" w:rsidRPr="00A85A82" w:rsidRDefault="00C12356" w:rsidP="00C12356">
      <w:pPr>
        <w:jc w:val="both"/>
        <w:rPr>
          <w:sz w:val="24"/>
          <w:szCs w:val="24"/>
        </w:rPr>
      </w:pPr>
      <w:r w:rsidRPr="00A85A82">
        <w:rPr>
          <w:sz w:val="24"/>
          <w:szCs w:val="24"/>
        </w:rPr>
        <w:t>En mai 2019, la population active du moment, au sens du Bureau International du Travail est évaluée à 12.730.000 personnes au niveau national, soit un accroissement de 767.000 par rapport à septembre 2013. La population active féminine a attein</w:t>
      </w:r>
      <w:r w:rsidR="00E3323B">
        <w:rPr>
          <w:sz w:val="24"/>
          <w:szCs w:val="24"/>
        </w:rPr>
        <w:t>t en mai 2019 près de 2.591.000</w:t>
      </w:r>
      <w:r w:rsidRPr="00A85A82">
        <w:rPr>
          <w:sz w:val="24"/>
          <w:szCs w:val="24"/>
        </w:rPr>
        <w:t xml:space="preserve"> soit 20,4% de la population active totale contre la part de 19,0% en septembre 2013.</w:t>
      </w:r>
    </w:p>
    <w:p w:rsidR="00C12356" w:rsidRPr="00A85A82" w:rsidRDefault="00C12356" w:rsidP="00C12356">
      <w:pPr>
        <w:tabs>
          <w:tab w:val="left" w:pos="284"/>
        </w:tabs>
        <w:spacing w:line="320" w:lineRule="exact"/>
        <w:jc w:val="both"/>
        <w:rPr>
          <w:sz w:val="24"/>
          <w:szCs w:val="24"/>
        </w:rPr>
      </w:pPr>
      <w:r w:rsidRPr="00A85A82">
        <w:rPr>
          <w:sz w:val="24"/>
          <w:szCs w:val="24"/>
        </w:rPr>
        <w:t xml:space="preserve">Le taux de participation à la force de travail de la population âgée de 15 ans et plus (ou taux d’activité économique) a baissé en mai 2019 à 42,2% après avoir été à 43,2% en septembre 2013. Décliné par sexe, il est estimé en mai 2019 à 66,8% auprès des hommes (69,5% en septembre 2013) contre 17,3% chez les femmes (16,6% en septembre 2013). </w:t>
      </w:r>
    </w:p>
    <w:p w:rsidR="00C12356" w:rsidRPr="00A85A82" w:rsidRDefault="00C12356" w:rsidP="00C12356">
      <w:pPr>
        <w:jc w:val="both"/>
        <w:rPr>
          <w:sz w:val="24"/>
          <w:szCs w:val="24"/>
        </w:rPr>
      </w:pPr>
      <w:r w:rsidRPr="00A85A82">
        <w:rPr>
          <w:sz w:val="24"/>
          <w:szCs w:val="24"/>
        </w:rPr>
        <w:t>La population occupée du moment est passée de 10.788.000 personnes en septembre 2013 à 11.281.000 personnes en mai 2019, soit un accroissement absolu de près d’un demi-million de personnes sur la période considérée. La part de la population féminine occupée augmente légèrement passant ainsi de 17,6% en septembre 2013 à 18,3% en mai 2019.</w:t>
      </w:r>
    </w:p>
    <w:p w:rsidR="00C12356" w:rsidRPr="00A85A82" w:rsidRDefault="00122C86" w:rsidP="00C12356">
      <w:pPr>
        <w:jc w:val="both"/>
        <w:rPr>
          <w:sz w:val="24"/>
          <w:szCs w:val="24"/>
        </w:rPr>
      </w:pPr>
      <w:r>
        <w:rPr>
          <w:sz w:val="24"/>
          <w:szCs w:val="24"/>
        </w:rPr>
        <w:t>L</w:t>
      </w:r>
      <w:r w:rsidR="00C12356" w:rsidRPr="00A85A82">
        <w:rPr>
          <w:sz w:val="24"/>
          <w:szCs w:val="24"/>
        </w:rPr>
        <w:t>a population occupée dans le secteur public baisse de 3,9% passant de 4.440.000 personnes en septembre 2013 à 4.267.000 personnes en mai 2019. En revanche, elle augmente de 10,5% dans le secteur privé pour se situer à 7.014.000 en mai 2019.</w:t>
      </w:r>
    </w:p>
    <w:p w:rsidR="00C12356" w:rsidRPr="00A85A82" w:rsidRDefault="00C12356" w:rsidP="00C12356">
      <w:pPr>
        <w:jc w:val="both"/>
        <w:rPr>
          <w:sz w:val="24"/>
          <w:szCs w:val="24"/>
        </w:rPr>
      </w:pPr>
      <w:r w:rsidRPr="00A85A82">
        <w:rPr>
          <w:sz w:val="24"/>
          <w:szCs w:val="24"/>
        </w:rPr>
        <w:lastRenderedPageBreak/>
        <w:t>Selon le statut d’occupation, le volume de l’auto emploi augmente de 11,4% sur la période considérée passant de 3.117.000 personnes en septembre 2013 à 3.473.000 personnes en mai 2019. Sa part moyenne est de 29,3% sur la période considérée. Le volume des salariés a augmenté de 188.000 personnes. Les efforts des pouvoirs publics en faveur des contrats à durée indéterminée ont permis d’augment</w:t>
      </w:r>
      <w:r w:rsidR="00E3323B">
        <w:rPr>
          <w:sz w:val="24"/>
          <w:szCs w:val="24"/>
        </w:rPr>
        <w:t>er</w:t>
      </w:r>
      <w:r w:rsidRPr="00A85A82">
        <w:rPr>
          <w:sz w:val="24"/>
          <w:szCs w:val="24"/>
        </w:rPr>
        <w:t xml:space="preserve"> le volume des salariés permanents sur la période considérée de 576.000 personnes alors que celui des salariés non</w:t>
      </w:r>
      <w:r w:rsidR="00277654">
        <w:rPr>
          <w:sz w:val="24"/>
          <w:szCs w:val="24"/>
        </w:rPr>
        <w:t xml:space="preserve"> permanant baisse de l’ordre de</w:t>
      </w:r>
      <w:r w:rsidRPr="00A85A82">
        <w:rPr>
          <w:sz w:val="24"/>
          <w:szCs w:val="24"/>
        </w:rPr>
        <w:t xml:space="preserve"> 388.000 personnes.</w:t>
      </w:r>
    </w:p>
    <w:p w:rsidR="00C12356" w:rsidRPr="00A85A82" w:rsidRDefault="00C12356" w:rsidP="00C12356">
      <w:pPr>
        <w:jc w:val="both"/>
        <w:rPr>
          <w:sz w:val="24"/>
          <w:szCs w:val="24"/>
        </w:rPr>
      </w:pPr>
      <w:r w:rsidRPr="00A85A82">
        <w:rPr>
          <w:sz w:val="24"/>
          <w:szCs w:val="24"/>
        </w:rPr>
        <w:t>Dans les conditions de l’évolution des la population active et occupée, le volume de la population à la recherche d’un emploi augmente de près de 274.000 chômeurs sur la période considérée pour se situer en mai 2019 à 1.449.000 chômeurs, soit un taux d’accroissement annuel moyen de 3,6%. A cet effet, le taux de chômage augmente légèrement pour se situer en mai 2019 à 11,4% après avoir connu le taux record de 9,8% en septembre 2013.</w:t>
      </w:r>
    </w:p>
    <w:p w:rsidR="00C12356" w:rsidRDefault="00CD55AD" w:rsidP="00C12356">
      <w:pPr>
        <w:jc w:val="both"/>
        <w:rPr>
          <w:noProof/>
          <w:lang w:eastAsia="fr-FR"/>
        </w:rPr>
      </w:pPr>
      <w:r>
        <w:rPr>
          <w:noProof/>
          <w:lang w:eastAsia="fr-FR"/>
        </w:rPr>
        <w:drawing>
          <wp:inline distT="0" distB="0" distL="0" distR="0">
            <wp:extent cx="4567947" cy="2739154"/>
            <wp:effectExtent l="12187" t="12184" r="14091" b="14087"/>
            <wp:docPr id="18"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12356" w:rsidRPr="00A326AB" w:rsidRDefault="00CD55AD" w:rsidP="00C12356">
      <w:pPr>
        <w:jc w:val="both"/>
        <w:rPr>
          <w:sz w:val="24"/>
          <w:szCs w:val="24"/>
          <w:highlight w:val="yellow"/>
        </w:rPr>
      </w:pPr>
      <w:r>
        <w:rPr>
          <w:noProof/>
          <w:lang w:eastAsia="fr-FR"/>
        </w:rPr>
        <w:drawing>
          <wp:inline distT="0" distB="0" distL="0" distR="0">
            <wp:extent cx="4567947" cy="2739154"/>
            <wp:effectExtent l="12187" t="12184" r="14091" b="14087"/>
            <wp:docPr id="19"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C63DA" w:rsidRPr="008E0A90" w:rsidRDefault="00FC63DA" w:rsidP="00FC63DA">
      <w:pPr>
        <w:pStyle w:val="Default"/>
        <w:rPr>
          <w:rFonts w:ascii="Calibri Light" w:hAnsi="Calibri Light"/>
          <w:b/>
          <w:bCs/>
        </w:rPr>
      </w:pPr>
    </w:p>
    <w:p w:rsidR="00FC63DA" w:rsidRPr="009513E3" w:rsidRDefault="00CC2B09" w:rsidP="00DD01F9">
      <w:pPr>
        <w:pStyle w:val="Default"/>
        <w:rPr>
          <w:rFonts w:ascii="Calibri Light" w:hAnsi="Calibri Light"/>
          <w:b/>
          <w:bCs/>
          <w:color w:val="auto"/>
        </w:rPr>
      </w:pPr>
      <w:r>
        <w:rPr>
          <w:b/>
          <w:bCs/>
          <w:color w:val="auto"/>
        </w:rPr>
        <w:lastRenderedPageBreak/>
        <w:t>I</w:t>
      </w:r>
      <w:r w:rsidR="007E638F">
        <w:rPr>
          <w:b/>
          <w:bCs/>
          <w:color w:val="auto"/>
        </w:rPr>
        <w:t>II</w:t>
      </w:r>
      <w:r w:rsidR="00DD01F9" w:rsidRPr="009513E3">
        <w:rPr>
          <w:b/>
          <w:bCs/>
          <w:color w:val="auto"/>
        </w:rPr>
        <w:t>-</w:t>
      </w:r>
      <w:r w:rsidR="007E638F">
        <w:rPr>
          <w:b/>
          <w:bCs/>
          <w:color w:val="auto"/>
        </w:rPr>
        <w:t>ETAT DE LIEUX DE</w:t>
      </w:r>
      <w:r w:rsidR="00DD01F9" w:rsidRPr="009513E3">
        <w:rPr>
          <w:b/>
          <w:bCs/>
          <w:color w:val="auto"/>
        </w:rPr>
        <w:t xml:space="preserve"> LA MISE EN OUVRE DE L’AGENDA 2063</w:t>
      </w:r>
    </w:p>
    <w:p w:rsidR="00FC63DA" w:rsidRPr="008E0A90" w:rsidRDefault="00FC63DA" w:rsidP="00FC63DA">
      <w:pPr>
        <w:pStyle w:val="Default"/>
        <w:rPr>
          <w:rFonts w:ascii="Calibri Light" w:hAnsi="Calibri Light"/>
          <w:b/>
          <w:bCs/>
        </w:rPr>
      </w:pPr>
    </w:p>
    <w:p w:rsidR="00FC63DA" w:rsidRPr="008E0A90" w:rsidRDefault="00FC63DA" w:rsidP="00FC63DA">
      <w:pPr>
        <w:jc w:val="both"/>
        <w:rPr>
          <w:rFonts w:ascii="Calibri Light" w:hAnsi="Calibri Light" w:cs="Lato-Regular"/>
          <w:sz w:val="24"/>
          <w:szCs w:val="24"/>
        </w:rPr>
      </w:pPr>
      <w:r w:rsidRPr="008E0A90">
        <w:rPr>
          <w:rFonts w:ascii="Calibri Light" w:hAnsi="Calibri Light"/>
          <w:sz w:val="24"/>
          <w:szCs w:val="24"/>
        </w:rPr>
        <w:t xml:space="preserve">L’Algérie a intégré, dès leurs adoptions, l’Agenda 2063 et les Objectifs de Développement Durable dans ses politiques nationales de développement. </w:t>
      </w:r>
    </w:p>
    <w:p w:rsidR="00FC63DA" w:rsidRPr="008E0A90" w:rsidRDefault="00FC63DA" w:rsidP="00122C86">
      <w:pPr>
        <w:autoSpaceDE w:val="0"/>
        <w:autoSpaceDN w:val="0"/>
        <w:adjustRightInd w:val="0"/>
        <w:jc w:val="both"/>
        <w:rPr>
          <w:rFonts w:ascii="Calibri Light" w:hAnsi="Calibri Light" w:cs="Lato-Regular"/>
          <w:sz w:val="24"/>
          <w:szCs w:val="24"/>
        </w:rPr>
      </w:pPr>
      <w:r w:rsidRPr="008E0A90">
        <w:rPr>
          <w:rFonts w:ascii="Calibri Light" w:hAnsi="Calibri Light" w:cs="Lato-Regular"/>
          <w:sz w:val="24"/>
          <w:szCs w:val="24"/>
        </w:rPr>
        <w:t xml:space="preserve">Un Comité interministériel chargé du suivi de la réalisation des objectifs de l’Agenda 2063 en Algérie a été installé. Ce Comité qui se réunit régulièrement regroupe les points focaux de l’ensemble des </w:t>
      </w:r>
      <w:r w:rsidR="00DD01F9">
        <w:rPr>
          <w:rFonts w:ascii="Calibri Light" w:hAnsi="Calibri Light" w:cs="Lato-Regular"/>
          <w:sz w:val="24"/>
          <w:szCs w:val="24"/>
        </w:rPr>
        <w:t>D</w:t>
      </w:r>
      <w:r w:rsidRPr="008E0A90">
        <w:rPr>
          <w:rFonts w:ascii="Calibri Light" w:hAnsi="Calibri Light" w:cs="Lato-Regular"/>
          <w:sz w:val="24"/>
          <w:szCs w:val="24"/>
        </w:rPr>
        <w:t>épartements ministériels et les représentants de l’Office National des Statistiques, ainsi que les autres organismes concernés par les domaines prioritaires de l’Agenda 2063.</w:t>
      </w:r>
    </w:p>
    <w:p w:rsidR="0064140D" w:rsidRDefault="0064140D" w:rsidP="00FD0B90">
      <w:pPr>
        <w:jc w:val="both"/>
        <w:rPr>
          <w:rFonts w:cs="Calibri"/>
          <w:b/>
          <w:bCs/>
          <w:color w:val="FF0000"/>
          <w:sz w:val="24"/>
          <w:szCs w:val="24"/>
        </w:rPr>
      </w:pPr>
      <w:r w:rsidRPr="00AF1562">
        <w:rPr>
          <w:b/>
          <w:bCs/>
          <w:sz w:val="24"/>
          <w:szCs w:val="24"/>
          <w:u w:val="single"/>
        </w:rPr>
        <w:t>ASPIRATION 1</w:t>
      </w:r>
      <w:r w:rsidRPr="001904FC">
        <w:rPr>
          <w:b/>
          <w:bCs/>
          <w:sz w:val="24"/>
          <w:szCs w:val="24"/>
        </w:rPr>
        <w:t> : UNE AFRIQUE PROSPERE FONDEE SUR UNE CROISSANCE INCLUSIVE ET UN DEVELOPPEMENT DURABLE</w:t>
      </w:r>
    </w:p>
    <w:p w:rsidR="000003BE" w:rsidRPr="009513E3" w:rsidRDefault="000003BE" w:rsidP="00FD0B90">
      <w:pPr>
        <w:jc w:val="both"/>
        <w:rPr>
          <w:rFonts w:cs="Calibri"/>
          <w:b/>
          <w:bCs/>
          <w:sz w:val="24"/>
          <w:szCs w:val="24"/>
        </w:rPr>
      </w:pPr>
      <w:r w:rsidRPr="007E638F">
        <w:rPr>
          <w:rFonts w:cs="Calibri"/>
          <w:b/>
          <w:bCs/>
          <w:sz w:val="24"/>
          <w:szCs w:val="24"/>
          <w:u w:val="single"/>
        </w:rPr>
        <w:t>Objectif 1</w:t>
      </w:r>
      <w:r w:rsidRPr="009513E3">
        <w:rPr>
          <w:rFonts w:cs="Calibri"/>
          <w:b/>
          <w:bCs/>
          <w:sz w:val="24"/>
          <w:szCs w:val="24"/>
        </w:rPr>
        <w:t xml:space="preserve"> : Un niveau de vie et une qualité de vie élevés et le bien être pour toutes les populations africaines</w:t>
      </w:r>
    </w:p>
    <w:p w:rsidR="000003BE" w:rsidRPr="008E0A90" w:rsidRDefault="000003BE" w:rsidP="00FD0B90">
      <w:pPr>
        <w:jc w:val="both"/>
        <w:rPr>
          <w:rFonts w:cs="Calibri"/>
          <w:b/>
          <w:bCs/>
          <w:sz w:val="24"/>
          <w:szCs w:val="24"/>
          <w:u w:val="single"/>
        </w:rPr>
      </w:pPr>
      <w:r w:rsidRPr="008E0A90">
        <w:rPr>
          <w:rFonts w:cs="Calibri"/>
          <w:b/>
          <w:bCs/>
          <w:sz w:val="24"/>
          <w:szCs w:val="24"/>
          <w:u w:val="single"/>
        </w:rPr>
        <w:t>Revenu, emploi et travail décent</w:t>
      </w:r>
    </w:p>
    <w:p w:rsidR="000003BE" w:rsidRPr="008E0A90" w:rsidRDefault="000003BE" w:rsidP="00FD0B90">
      <w:pPr>
        <w:jc w:val="both"/>
        <w:rPr>
          <w:rFonts w:cs="Calibri"/>
          <w:sz w:val="24"/>
          <w:szCs w:val="24"/>
        </w:rPr>
      </w:pPr>
      <w:r w:rsidRPr="008E0A90">
        <w:rPr>
          <w:rFonts w:cs="Calibri"/>
          <w:sz w:val="24"/>
          <w:szCs w:val="24"/>
        </w:rPr>
        <w:t>Depuis la moitié de l’année 2014, et sous l’effet de la baisse des prix internationaux du pétrole brut et du gaz naturel, l’économie Algérienne a entamé une phase qui se caractérise par la contraction des ressources financières. A l’effet d’atténuer les impacts négatifs de cette conjoncture défavorable sur les équilibres internes et externes, les pouvoirs publics, à travers les grands axes des différents projets de lois des finances, ont préconisé des objectifs macroéconomiques ciblant la maitrise des dépenses publiques, l’encadrement du commerce extérieur et la préservation de l’activité économique ainsi que des acquis sociaux de la population.</w:t>
      </w:r>
    </w:p>
    <w:p w:rsidR="00A16A13" w:rsidRDefault="000003BE" w:rsidP="00926A18">
      <w:pPr>
        <w:jc w:val="both"/>
        <w:rPr>
          <w:rFonts w:cs="Calibri"/>
          <w:sz w:val="24"/>
          <w:szCs w:val="24"/>
        </w:rPr>
      </w:pPr>
      <w:r w:rsidRPr="008E0A90">
        <w:rPr>
          <w:rFonts w:cs="Calibri"/>
          <w:sz w:val="24"/>
          <w:szCs w:val="24"/>
        </w:rPr>
        <w:t xml:space="preserve">Le </w:t>
      </w:r>
      <w:r w:rsidR="00926A18" w:rsidRPr="008E0A90">
        <w:rPr>
          <w:rFonts w:cs="Calibri"/>
          <w:sz w:val="24"/>
          <w:szCs w:val="24"/>
        </w:rPr>
        <w:t>R</w:t>
      </w:r>
      <w:r w:rsidRPr="008E0A90">
        <w:rPr>
          <w:rFonts w:cs="Calibri"/>
          <w:sz w:val="24"/>
          <w:szCs w:val="24"/>
        </w:rPr>
        <w:t xml:space="preserve">evenu National </w:t>
      </w:r>
      <w:r w:rsidR="00926A18" w:rsidRPr="008E0A90">
        <w:rPr>
          <w:rFonts w:cs="Calibri"/>
          <w:sz w:val="24"/>
          <w:szCs w:val="24"/>
        </w:rPr>
        <w:t>B</w:t>
      </w:r>
      <w:r w:rsidRPr="008E0A90">
        <w:rPr>
          <w:rFonts w:cs="Calibri"/>
          <w:sz w:val="24"/>
          <w:szCs w:val="24"/>
        </w:rPr>
        <w:t xml:space="preserve">rut par habitant </w:t>
      </w:r>
      <w:r w:rsidR="00926A18" w:rsidRPr="008E0A90">
        <w:rPr>
          <w:rFonts w:cs="Calibri"/>
          <w:sz w:val="24"/>
          <w:szCs w:val="24"/>
        </w:rPr>
        <w:t xml:space="preserve">(RNB per capita) </w:t>
      </w:r>
      <w:r w:rsidRPr="008E0A90">
        <w:rPr>
          <w:rFonts w:cs="Calibri"/>
          <w:sz w:val="24"/>
          <w:szCs w:val="24"/>
        </w:rPr>
        <w:t>exprimé en US $ est passé de 5378 en 2013 à 3983 en 2018, régression qui s’explique essentiellement par la forte dépréciation du DA par rapport au Dollar Américain.</w:t>
      </w:r>
    </w:p>
    <w:p w:rsidR="000003BE" w:rsidRPr="008E0A90" w:rsidRDefault="000003BE" w:rsidP="00926A18">
      <w:pPr>
        <w:jc w:val="both"/>
        <w:rPr>
          <w:rFonts w:cs="Calibri"/>
          <w:sz w:val="24"/>
          <w:szCs w:val="24"/>
        </w:rPr>
      </w:pPr>
      <w:r w:rsidRPr="008E0A90">
        <w:rPr>
          <w:rFonts w:cs="Calibri"/>
          <w:sz w:val="24"/>
          <w:szCs w:val="24"/>
        </w:rPr>
        <w:t>En monnaie local</w:t>
      </w:r>
      <w:r w:rsidR="00926A18" w:rsidRPr="008E0A90">
        <w:rPr>
          <w:rFonts w:cs="Calibri"/>
          <w:sz w:val="24"/>
          <w:szCs w:val="24"/>
        </w:rPr>
        <w:t xml:space="preserve">e, </w:t>
      </w:r>
      <w:r w:rsidRPr="008E0A90">
        <w:rPr>
          <w:rFonts w:cs="Calibri"/>
          <w:sz w:val="24"/>
          <w:szCs w:val="24"/>
        </w:rPr>
        <w:t xml:space="preserve">le Revenu National </w:t>
      </w:r>
      <w:r w:rsidR="00926A18" w:rsidRPr="008E0A90">
        <w:rPr>
          <w:rFonts w:cs="Calibri"/>
          <w:sz w:val="24"/>
          <w:szCs w:val="24"/>
        </w:rPr>
        <w:t>B</w:t>
      </w:r>
      <w:r w:rsidRPr="008E0A90">
        <w:rPr>
          <w:rFonts w:cs="Calibri"/>
          <w:sz w:val="24"/>
          <w:szCs w:val="24"/>
        </w:rPr>
        <w:t>rut par habitant est passé de 426</w:t>
      </w:r>
      <w:r w:rsidR="00926A18" w:rsidRPr="008E0A90">
        <w:rPr>
          <w:rFonts w:cs="Calibri"/>
          <w:sz w:val="24"/>
          <w:szCs w:val="24"/>
        </w:rPr>
        <w:t>.</w:t>
      </w:r>
      <w:r w:rsidRPr="008E0A90">
        <w:rPr>
          <w:rFonts w:cs="Calibri"/>
          <w:sz w:val="24"/>
          <w:szCs w:val="24"/>
        </w:rPr>
        <w:t>920 DA en 2013 à 464</w:t>
      </w:r>
      <w:r w:rsidR="00926A18" w:rsidRPr="008E0A90">
        <w:rPr>
          <w:rFonts w:cs="Calibri"/>
          <w:sz w:val="24"/>
          <w:szCs w:val="24"/>
        </w:rPr>
        <w:t>.</w:t>
      </w:r>
      <w:r w:rsidRPr="008E0A90">
        <w:rPr>
          <w:rFonts w:cs="Calibri"/>
          <w:sz w:val="24"/>
          <w:szCs w:val="24"/>
        </w:rPr>
        <w:t>452 en 2018 DA, soit une variation annuelle moyenne de +1</w:t>
      </w:r>
      <w:r w:rsidR="00926A18" w:rsidRPr="008E0A90">
        <w:rPr>
          <w:rFonts w:cs="Calibri"/>
          <w:sz w:val="24"/>
          <w:szCs w:val="24"/>
        </w:rPr>
        <w:t>,</w:t>
      </w:r>
      <w:r w:rsidRPr="008E0A90">
        <w:rPr>
          <w:rFonts w:cs="Calibri"/>
          <w:sz w:val="24"/>
          <w:szCs w:val="24"/>
        </w:rPr>
        <w:t xml:space="preserve">7 %. </w:t>
      </w:r>
    </w:p>
    <w:p w:rsidR="000003BE" w:rsidRPr="008E0A90" w:rsidRDefault="000003BE" w:rsidP="00926A18">
      <w:pPr>
        <w:jc w:val="both"/>
        <w:rPr>
          <w:rFonts w:cs="Calibri"/>
          <w:sz w:val="24"/>
          <w:szCs w:val="24"/>
        </w:rPr>
      </w:pPr>
      <w:r w:rsidRPr="008E0A90">
        <w:rPr>
          <w:rFonts w:cs="Calibri"/>
          <w:sz w:val="24"/>
          <w:szCs w:val="24"/>
        </w:rPr>
        <w:t>Les transferts sociaux budgétisés représentent durant le prochain plan social 8,4% du PIB réparties en 24</w:t>
      </w:r>
      <w:r w:rsidR="00926A18" w:rsidRPr="008E0A90">
        <w:rPr>
          <w:rFonts w:cs="Calibri"/>
          <w:sz w:val="24"/>
          <w:szCs w:val="24"/>
        </w:rPr>
        <w:t>,</w:t>
      </w:r>
      <w:r w:rsidRPr="008E0A90">
        <w:rPr>
          <w:rFonts w:cs="Calibri"/>
          <w:sz w:val="24"/>
          <w:szCs w:val="24"/>
        </w:rPr>
        <w:t>8% comme soutien aux familles,</w:t>
      </w:r>
      <w:r w:rsidR="00926A18" w:rsidRPr="008E0A90">
        <w:rPr>
          <w:rFonts w:cs="Calibri"/>
          <w:sz w:val="24"/>
          <w:szCs w:val="24"/>
        </w:rPr>
        <w:t xml:space="preserve"> </w:t>
      </w:r>
      <w:r w:rsidRPr="008E0A90">
        <w:rPr>
          <w:rFonts w:cs="Calibri"/>
          <w:sz w:val="24"/>
          <w:szCs w:val="24"/>
        </w:rPr>
        <w:t>27</w:t>
      </w:r>
      <w:r w:rsidR="00926A18" w:rsidRPr="008E0A90">
        <w:rPr>
          <w:rFonts w:cs="Calibri"/>
          <w:sz w:val="24"/>
          <w:szCs w:val="24"/>
        </w:rPr>
        <w:t>,</w:t>
      </w:r>
      <w:r w:rsidRPr="008E0A90">
        <w:rPr>
          <w:rFonts w:cs="Calibri"/>
          <w:sz w:val="24"/>
          <w:szCs w:val="24"/>
        </w:rPr>
        <w:t>9% à l’éducation,</w:t>
      </w:r>
      <w:r w:rsidR="00926A18" w:rsidRPr="008E0A90">
        <w:rPr>
          <w:rFonts w:cs="Calibri"/>
          <w:sz w:val="24"/>
          <w:szCs w:val="24"/>
        </w:rPr>
        <w:t xml:space="preserve"> </w:t>
      </w:r>
      <w:r w:rsidRPr="008E0A90">
        <w:rPr>
          <w:rFonts w:cs="Calibri"/>
          <w:sz w:val="24"/>
          <w:szCs w:val="24"/>
        </w:rPr>
        <w:t>18% à la santé et 9% à l’habitat.</w:t>
      </w:r>
    </w:p>
    <w:p w:rsidR="000003BE" w:rsidRPr="008E0A90" w:rsidRDefault="000003BE" w:rsidP="00926A18">
      <w:pPr>
        <w:jc w:val="both"/>
        <w:rPr>
          <w:rFonts w:cs="Calibri"/>
          <w:sz w:val="24"/>
          <w:szCs w:val="24"/>
        </w:rPr>
      </w:pPr>
      <w:r w:rsidRPr="008E0A90">
        <w:rPr>
          <w:rFonts w:cs="Calibri"/>
          <w:sz w:val="24"/>
          <w:szCs w:val="24"/>
        </w:rPr>
        <w:t>Des efforts soutenus de l’Algérie durant les dernières décennies pour la réalisation de fortes croissances économiques ont été déployés dans la perspective de réduire le chômage dont le taux avait culminé au début des années 2000 à près de 30% de la population active. En moyenne entre 2001 et 2018, plus de 300.000 emplois nets ont été créés chaque année grâce notamment à un investissement public massif et à une politique active d’aide</w:t>
      </w:r>
      <w:r w:rsidR="00B0782F">
        <w:rPr>
          <w:rFonts w:cs="Calibri"/>
          <w:sz w:val="24"/>
          <w:szCs w:val="24"/>
        </w:rPr>
        <w:t xml:space="preserve"> à l’insertion professionnelle.</w:t>
      </w:r>
      <w:r w:rsidRPr="008E0A90">
        <w:rPr>
          <w:rFonts w:cs="Calibri"/>
          <w:sz w:val="24"/>
          <w:szCs w:val="24"/>
        </w:rPr>
        <w:t xml:space="preserve"> Le taux de chômage se situe en 201</w:t>
      </w:r>
      <w:r w:rsidR="00926A18" w:rsidRPr="008E0A90">
        <w:rPr>
          <w:rFonts w:cs="Calibri"/>
          <w:sz w:val="24"/>
          <w:szCs w:val="24"/>
        </w:rPr>
        <w:t>9</w:t>
      </w:r>
      <w:r w:rsidRPr="008E0A90">
        <w:rPr>
          <w:rFonts w:cs="Calibri"/>
          <w:sz w:val="24"/>
          <w:szCs w:val="24"/>
        </w:rPr>
        <w:t xml:space="preserve"> à 11</w:t>
      </w:r>
      <w:r w:rsidR="00926A18" w:rsidRPr="008E0A90">
        <w:rPr>
          <w:rFonts w:cs="Calibri"/>
          <w:sz w:val="24"/>
          <w:szCs w:val="24"/>
        </w:rPr>
        <w:t>,</w:t>
      </w:r>
      <w:r w:rsidRPr="008E0A90">
        <w:rPr>
          <w:rFonts w:cs="Calibri"/>
          <w:sz w:val="24"/>
          <w:szCs w:val="24"/>
        </w:rPr>
        <w:t>4% de la population active. Cependant, malgré ces résultats positifs, l’emploi reste encore un défi majeur, notamment, pour les jeunes (16-24 ans) dont le taux de chômage a enregistré un recul de 2</w:t>
      </w:r>
      <w:r w:rsidR="00926A18" w:rsidRPr="008E0A90">
        <w:rPr>
          <w:rFonts w:cs="Calibri"/>
          <w:sz w:val="24"/>
          <w:szCs w:val="24"/>
        </w:rPr>
        <w:t>,</w:t>
      </w:r>
      <w:r w:rsidRPr="008E0A90">
        <w:rPr>
          <w:rFonts w:cs="Calibri"/>
          <w:sz w:val="24"/>
          <w:szCs w:val="24"/>
        </w:rPr>
        <w:t xml:space="preserve">2 points de pourcentage entre septembre 2018 et mai 2019. Durant la même période, le </w:t>
      </w:r>
      <w:r w:rsidRPr="008E0A90">
        <w:rPr>
          <w:rFonts w:cs="Calibri"/>
          <w:sz w:val="24"/>
          <w:szCs w:val="24"/>
        </w:rPr>
        <w:lastRenderedPageBreak/>
        <w:t>taux de chômage par sexe enregistre un fléchissement de 0</w:t>
      </w:r>
      <w:r w:rsidR="00926A18" w:rsidRPr="008E0A90">
        <w:rPr>
          <w:rFonts w:cs="Calibri"/>
          <w:sz w:val="24"/>
          <w:szCs w:val="24"/>
        </w:rPr>
        <w:t>,</w:t>
      </w:r>
      <w:r w:rsidRPr="008E0A90">
        <w:rPr>
          <w:rFonts w:cs="Calibri"/>
          <w:sz w:val="24"/>
          <w:szCs w:val="24"/>
        </w:rPr>
        <w:t>8 point de pourcentage pour les hommes et une hausse de 1 point de pourcentage pour les femmes. En terme de niveau d’activité, le taux d’activité économique est passé de 41</w:t>
      </w:r>
      <w:r w:rsidR="00926A18" w:rsidRPr="008E0A90">
        <w:rPr>
          <w:rFonts w:cs="Calibri"/>
          <w:sz w:val="24"/>
          <w:szCs w:val="24"/>
        </w:rPr>
        <w:t>,</w:t>
      </w:r>
      <w:r w:rsidRPr="008E0A90">
        <w:rPr>
          <w:rFonts w:cs="Calibri"/>
          <w:sz w:val="24"/>
          <w:szCs w:val="24"/>
        </w:rPr>
        <w:t>7% en septembre 2018 à 42</w:t>
      </w:r>
      <w:r w:rsidR="00926A18" w:rsidRPr="008E0A90">
        <w:rPr>
          <w:rFonts w:cs="Calibri"/>
          <w:sz w:val="24"/>
          <w:szCs w:val="24"/>
        </w:rPr>
        <w:t>,</w:t>
      </w:r>
      <w:r w:rsidRPr="008E0A90">
        <w:rPr>
          <w:rFonts w:cs="Calibri"/>
          <w:sz w:val="24"/>
          <w:szCs w:val="24"/>
        </w:rPr>
        <w:t>2% en mai 2019.</w:t>
      </w:r>
    </w:p>
    <w:p w:rsidR="000003BE" w:rsidRPr="008E0A90" w:rsidRDefault="000003BE" w:rsidP="00FD0B90">
      <w:pPr>
        <w:jc w:val="both"/>
        <w:rPr>
          <w:rFonts w:cs="Calibri"/>
          <w:b/>
          <w:bCs/>
          <w:sz w:val="24"/>
          <w:szCs w:val="24"/>
          <w:u w:val="single"/>
        </w:rPr>
      </w:pPr>
      <w:r w:rsidRPr="008E0A90">
        <w:rPr>
          <w:rFonts w:cs="Calibri"/>
          <w:b/>
          <w:bCs/>
          <w:sz w:val="24"/>
          <w:szCs w:val="24"/>
          <w:u w:val="single"/>
        </w:rPr>
        <w:t>Pauvreté</w:t>
      </w:r>
      <w:r w:rsidR="00907F36">
        <w:rPr>
          <w:rFonts w:cs="Calibri"/>
          <w:b/>
          <w:bCs/>
          <w:sz w:val="24"/>
          <w:szCs w:val="24"/>
          <w:u w:val="single"/>
        </w:rPr>
        <w:t>,</w:t>
      </w:r>
      <w:r w:rsidRPr="008E0A90">
        <w:rPr>
          <w:rFonts w:cs="Calibri"/>
          <w:b/>
          <w:bCs/>
          <w:sz w:val="24"/>
          <w:szCs w:val="24"/>
          <w:u w:val="single"/>
        </w:rPr>
        <w:t xml:space="preserve"> inégalité et faim</w:t>
      </w:r>
    </w:p>
    <w:p w:rsidR="000003BE" w:rsidRPr="008E0A90" w:rsidRDefault="000003BE" w:rsidP="00FD0B90">
      <w:pPr>
        <w:jc w:val="both"/>
        <w:rPr>
          <w:rFonts w:cs="Calibri"/>
          <w:sz w:val="24"/>
          <w:szCs w:val="24"/>
        </w:rPr>
      </w:pPr>
      <w:r w:rsidRPr="008E0A90">
        <w:rPr>
          <w:rFonts w:cs="Calibri"/>
          <w:sz w:val="24"/>
          <w:szCs w:val="24"/>
        </w:rPr>
        <w:t>L’Algérie, en souscrivant à l’agenda 2030, s’est engagée à éradiquer l’extrême pauvreté et à réduire de moitié la pauvreté nationale. La politique sociale menée par notre pays depuis des décennies pour combattre la pauvreté a déjà donné</w:t>
      </w:r>
      <w:r w:rsidR="00907F36">
        <w:rPr>
          <w:rFonts w:cs="Calibri"/>
          <w:sz w:val="24"/>
          <w:szCs w:val="24"/>
        </w:rPr>
        <w:t xml:space="preserve"> </w:t>
      </w:r>
      <w:r w:rsidRPr="008E0A90">
        <w:rPr>
          <w:rFonts w:cs="Calibri"/>
          <w:sz w:val="24"/>
          <w:szCs w:val="24"/>
        </w:rPr>
        <w:t>des résultats remarquables.</w:t>
      </w:r>
    </w:p>
    <w:p w:rsidR="000003BE" w:rsidRPr="008E0A90" w:rsidRDefault="000003BE" w:rsidP="00FD0B90">
      <w:pPr>
        <w:jc w:val="both"/>
        <w:rPr>
          <w:rFonts w:cs="Calibri"/>
          <w:sz w:val="24"/>
          <w:szCs w:val="24"/>
        </w:rPr>
      </w:pPr>
      <w:r w:rsidRPr="008E0A90">
        <w:rPr>
          <w:rFonts w:cs="Calibri"/>
          <w:sz w:val="24"/>
          <w:szCs w:val="24"/>
        </w:rPr>
        <w:t xml:space="preserve">En 2011, la population vivant </w:t>
      </w:r>
      <w:r w:rsidR="009513E3" w:rsidRPr="008E0A90">
        <w:rPr>
          <w:rFonts w:cs="Calibri"/>
          <w:sz w:val="24"/>
          <w:szCs w:val="24"/>
        </w:rPr>
        <w:t>au-</w:t>
      </w:r>
      <w:r w:rsidRPr="008E0A90">
        <w:rPr>
          <w:rFonts w:cs="Calibri"/>
          <w:sz w:val="24"/>
          <w:szCs w:val="24"/>
        </w:rPr>
        <w:t xml:space="preserve"> </w:t>
      </w:r>
      <w:r w:rsidR="00907F36">
        <w:rPr>
          <w:rFonts w:cs="Calibri"/>
          <w:sz w:val="24"/>
          <w:szCs w:val="24"/>
        </w:rPr>
        <w:t>des</w:t>
      </w:r>
      <w:r w:rsidRPr="008E0A90">
        <w:rPr>
          <w:rFonts w:cs="Calibri"/>
          <w:sz w:val="24"/>
          <w:szCs w:val="24"/>
        </w:rPr>
        <w:t>sous du seuil de l’extr</w:t>
      </w:r>
      <w:r w:rsidR="00873916" w:rsidRPr="008E0A90">
        <w:rPr>
          <w:rFonts w:cs="Calibri"/>
          <w:sz w:val="24"/>
          <w:szCs w:val="24"/>
        </w:rPr>
        <w:t>ême pauvreté ne dépassait pas 0,</w:t>
      </w:r>
      <w:r w:rsidRPr="008E0A90">
        <w:rPr>
          <w:rFonts w:cs="Calibri"/>
          <w:sz w:val="24"/>
          <w:szCs w:val="24"/>
        </w:rPr>
        <w:t>5% de la population totale. Une comparaison internationale permet de situer l’Algérie parmi les quarante pays au monde qui ont réduit le plus, entre 2010 et 2012, le pourcentage de la population vivant au-dessous du seuil international de pauvreté.</w:t>
      </w:r>
    </w:p>
    <w:p w:rsidR="000003BE" w:rsidRPr="008E0A90" w:rsidRDefault="000003BE" w:rsidP="00FD0B90">
      <w:pPr>
        <w:jc w:val="both"/>
        <w:rPr>
          <w:rFonts w:cs="Calibri"/>
          <w:sz w:val="24"/>
          <w:szCs w:val="24"/>
        </w:rPr>
      </w:pPr>
      <w:r w:rsidRPr="008E0A90">
        <w:rPr>
          <w:rFonts w:cs="Calibri"/>
          <w:sz w:val="24"/>
          <w:szCs w:val="24"/>
        </w:rPr>
        <w:t>L’Algérie est parvenue à réduire le taux de prévalence de la sous-alimentation au rythme moyen de -6% par an. En 2016, la prévalence de la so</w:t>
      </w:r>
      <w:r w:rsidR="00873916" w:rsidRPr="008E0A90">
        <w:rPr>
          <w:rFonts w:cs="Calibri"/>
          <w:sz w:val="24"/>
          <w:szCs w:val="24"/>
        </w:rPr>
        <w:t>us-alimentation s’est fixée à 4,</w:t>
      </w:r>
      <w:r w:rsidRPr="008E0A90">
        <w:rPr>
          <w:rFonts w:cs="Calibri"/>
          <w:sz w:val="24"/>
          <w:szCs w:val="24"/>
        </w:rPr>
        <w:t>6% alors que le taux moyen dans les pays en développement s’élève à 13%.</w:t>
      </w:r>
    </w:p>
    <w:p w:rsidR="000003BE" w:rsidRPr="008E0A90" w:rsidRDefault="000003BE" w:rsidP="00873916">
      <w:pPr>
        <w:jc w:val="both"/>
        <w:rPr>
          <w:rFonts w:cs="Calibri"/>
          <w:sz w:val="24"/>
          <w:szCs w:val="24"/>
        </w:rPr>
      </w:pPr>
      <w:r w:rsidRPr="008E0A90">
        <w:rPr>
          <w:rFonts w:cs="Calibri"/>
          <w:sz w:val="24"/>
          <w:szCs w:val="24"/>
        </w:rPr>
        <w:t xml:space="preserve">Le taux de </w:t>
      </w:r>
      <w:r w:rsidRPr="00122C86">
        <w:rPr>
          <w:rFonts w:cs="Calibri"/>
          <w:sz w:val="24"/>
          <w:szCs w:val="24"/>
        </w:rPr>
        <w:t xml:space="preserve">prévalence de l’insécurité </w:t>
      </w:r>
      <w:r w:rsidR="00907F36" w:rsidRPr="00122C86">
        <w:rPr>
          <w:rFonts w:cs="Calibri"/>
          <w:sz w:val="24"/>
          <w:szCs w:val="24"/>
        </w:rPr>
        <w:t xml:space="preserve">alimentaire </w:t>
      </w:r>
      <w:r w:rsidRPr="00122C86">
        <w:rPr>
          <w:rFonts w:cs="Calibri"/>
          <w:sz w:val="24"/>
          <w:szCs w:val="24"/>
        </w:rPr>
        <w:t>sévère</w:t>
      </w:r>
      <w:r w:rsidRPr="008E0A90">
        <w:rPr>
          <w:rFonts w:cs="Calibri"/>
          <w:sz w:val="24"/>
          <w:szCs w:val="24"/>
        </w:rPr>
        <w:t xml:space="preserve"> et celui de l’insécurité moyenne à sévère ont atteint respectivement 1,3% et 6</w:t>
      </w:r>
      <w:r w:rsidR="00873916" w:rsidRPr="008E0A90">
        <w:rPr>
          <w:rFonts w:cs="Calibri"/>
          <w:sz w:val="24"/>
          <w:szCs w:val="24"/>
        </w:rPr>
        <w:t>,</w:t>
      </w:r>
      <w:r w:rsidRPr="008E0A90">
        <w:rPr>
          <w:rFonts w:cs="Calibri"/>
          <w:sz w:val="24"/>
          <w:szCs w:val="24"/>
        </w:rPr>
        <w:t>3% en 2014. Ces résultats placent ainsi l’Algérie parmi les pays dont la population souffre le moins d’insécurité alimentaire.</w:t>
      </w:r>
    </w:p>
    <w:p w:rsidR="000003BE" w:rsidRPr="008E0A90" w:rsidRDefault="000003BE" w:rsidP="00873916">
      <w:pPr>
        <w:jc w:val="both"/>
        <w:rPr>
          <w:rFonts w:cs="Calibri"/>
          <w:sz w:val="24"/>
          <w:szCs w:val="24"/>
        </w:rPr>
      </w:pPr>
      <w:r w:rsidRPr="008E0A90">
        <w:rPr>
          <w:rFonts w:cs="Calibri"/>
          <w:sz w:val="24"/>
          <w:szCs w:val="24"/>
        </w:rPr>
        <w:t>Le retard de croissance concernait, pendant une décennie (1992-2002), entre 18% et 19% des enfants âgés de moins de 5 ans. En 2012-2013, cette proportion est estimée à 11</w:t>
      </w:r>
      <w:r w:rsidR="00873916" w:rsidRPr="008E0A90">
        <w:rPr>
          <w:rFonts w:cs="Calibri"/>
          <w:sz w:val="24"/>
          <w:szCs w:val="24"/>
        </w:rPr>
        <w:t>,</w:t>
      </w:r>
      <w:r w:rsidRPr="008E0A90">
        <w:rPr>
          <w:rFonts w:cs="Calibri"/>
          <w:sz w:val="24"/>
          <w:szCs w:val="24"/>
        </w:rPr>
        <w:t>7% affichant ainsi une nette tendance à la baisse de l’ordre de 7</w:t>
      </w:r>
      <w:r w:rsidR="00873916" w:rsidRPr="008E0A90">
        <w:rPr>
          <w:rFonts w:cs="Calibri"/>
          <w:sz w:val="24"/>
          <w:szCs w:val="24"/>
        </w:rPr>
        <w:t>,</w:t>
      </w:r>
      <w:r w:rsidRPr="008E0A90">
        <w:rPr>
          <w:rFonts w:cs="Calibri"/>
          <w:sz w:val="24"/>
          <w:szCs w:val="24"/>
        </w:rPr>
        <w:t>4 points entre 2002 et 2012. L’émaciation modéré</w:t>
      </w:r>
      <w:r w:rsidR="00873916" w:rsidRPr="008E0A90">
        <w:rPr>
          <w:rFonts w:cs="Calibri"/>
          <w:sz w:val="24"/>
          <w:szCs w:val="24"/>
        </w:rPr>
        <w:t>e</w:t>
      </w:r>
      <w:r w:rsidRPr="008E0A90">
        <w:rPr>
          <w:rFonts w:cs="Calibri"/>
          <w:sz w:val="24"/>
          <w:szCs w:val="24"/>
        </w:rPr>
        <w:t xml:space="preserve"> ou sévère est estimée à 4</w:t>
      </w:r>
      <w:r w:rsidR="00873916" w:rsidRPr="008E0A90">
        <w:rPr>
          <w:rFonts w:cs="Calibri"/>
          <w:sz w:val="24"/>
          <w:szCs w:val="24"/>
        </w:rPr>
        <w:t>,</w:t>
      </w:r>
      <w:r w:rsidRPr="008E0A90">
        <w:rPr>
          <w:rFonts w:cs="Calibri"/>
          <w:sz w:val="24"/>
          <w:szCs w:val="24"/>
        </w:rPr>
        <w:t>1% en 2012-2013 contre seulement 2</w:t>
      </w:r>
      <w:r w:rsidR="00873916" w:rsidRPr="008E0A90">
        <w:rPr>
          <w:rFonts w:cs="Calibri"/>
          <w:sz w:val="24"/>
          <w:szCs w:val="24"/>
        </w:rPr>
        <w:t>,</w:t>
      </w:r>
      <w:r w:rsidRPr="008E0A90">
        <w:rPr>
          <w:rFonts w:cs="Calibri"/>
          <w:sz w:val="24"/>
          <w:szCs w:val="24"/>
        </w:rPr>
        <w:t>9% en 2006. Quant à l’obésité, cette dernière a connu une légère baisse en passant de 14</w:t>
      </w:r>
      <w:r w:rsidR="00873916" w:rsidRPr="008E0A90">
        <w:rPr>
          <w:rFonts w:cs="Calibri"/>
          <w:sz w:val="24"/>
          <w:szCs w:val="24"/>
        </w:rPr>
        <w:t>,</w:t>
      </w:r>
      <w:r w:rsidRPr="008E0A90">
        <w:rPr>
          <w:rFonts w:cs="Calibri"/>
          <w:sz w:val="24"/>
          <w:szCs w:val="24"/>
        </w:rPr>
        <w:t>7% en 2002 à 12</w:t>
      </w:r>
      <w:r w:rsidR="00873916" w:rsidRPr="008E0A90">
        <w:rPr>
          <w:rFonts w:cs="Calibri"/>
          <w:sz w:val="24"/>
          <w:szCs w:val="24"/>
        </w:rPr>
        <w:t>,</w:t>
      </w:r>
      <w:r w:rsidRPr="008E0A90">
        <w:rPr>
          <w:rFonts w:cs="Calibri"/>
          <w:sz w:val="24"/>
          <w:szCs w:val="24"/>
        </w:rPr>
        <w:t>4% en 2012-13 soit un gain de 2</w:t>
      </w:r>
      <w:r w:rsidR="00873916" w:rsidRPr="008E0A90">
        <w:rPr>
          <w:rFonts w:cs="Calibri"/>
          <w:sz w:val="24"/>
          <w:szCs w:val="24"/>
        </w:rPr>
        <w:t>,</w:t>
      </w:r>
      <w:r w:rsidRPr="008E0A90">
        <w:rPr>
          <w:rFonts w:cs="Calibri"/>
          <w:sz w:val="24"/>
          <w:szCs w:val="24"/>
        </w:rPr>
        <w:t>3 points seulement durant une décennie. L’obésité concerne plus les garçons que les filles (12</w:t>
      </w:r>
      <w:r w:rsidR="00873916" w:rsidRPr="008E0A90">
        <w:rPr>
          <w:rFonts w:cs="Calibri"/>
          <w:sz w:val="24"/>
          <w:szCs w:val="24"/>
        </w:rPr>
        <w:t>,</w:t>
      </w:r>
      <w:r w:rsidRPr="008E0A90">
        <w:rPr>
          <w:rFonts w:cs="Calibri"/>
          <w:sz w:val="24"/>
          <w:szCs w:val="24"/>
        </w:rPr>
        <w:t>8%</w:t>
      </w:r>
      <w:r w:rsidR="00873916" w:rsidRPr="008E0A90">
        <w:rPr>
          <w:rFonts w:cs="Calibri"/>
          <w:sz w:val="24"/>
          <w:szCs w:val="24"/>
        </w:rPr>
        <w:t xml:space="preserve"> </w:t>
      </w:r>
      <w:r w:rsidRPr="008E0A90">
        <w:rPr>
          <w:rFonts w:cs="Calibri"/>
          <w:sz w:val="24"/>
          <w:szCs w:val="24"/>
        </w:rPr>
        <w:t>vs 11.9%), le Nord que le Sud (12</w:t>
      </w:r>
      <w:r w:rsidR="00873916" w:rsidRPr="008E0A90">
        <w:rPr>
          <w:rFonts w:cs="Calibri"/>
          <w:sz w:val="24"/>
          <w:szCs w:val="24"/>
        </w:rPr>
        <w:t>,</w:t>
      </w:r>
      <w:r w:rsidRPr="008E0A90">
        <w:rPr>
          <w:rFonts w:cs="Calibri"/>
          <w:sz w:val="24"/>
          <w:szCs w:val="24"/>
        </w:rPr>
        <w:t>3% vs 6</w:t>
      </w:r>
      <w:r w:rsidR="00873916" w:rsidRPr="008E0A90">
        <w:rPr>
          <w:rFonts w:cs="Calibri"/>
          <w:sz w:val="24"/>
          <w:szCs w:val="24"/>
        </w:rPr>
        <w:t>,</w:t>
      </w:r>
      <w:r w:rsidRPr="008E0A90">
        <w:rPr>
          <w:rFonts w:cs="Calibri"/>
          <w:sz w:val="24"/>
          <w:szCs w:val="24"/>
        </w:rPr>
        <w:t>9%), et le milieu urbain que le milieu rural (13%</w:t>
      </w:r>
      <w:r w:rsidR="00873916" w:rsidRPr="008E0A90">
        <w:rPr>
          <w:rFonts w:cs="Calibri"/>
          <w:sz w:val="24"/>
          <w:szCs w:val="24"/>
        </w:rPr>
        <w:t xml:space="preserve"> </w:t>
      </w:r>
      <w:r w:rsidRPr="008E0A90">
        <w:rPr>
          <w:rFonts w:cs="Calibri"/>
          <w:sz w:val="24"/>
          <w:szCs w:val="24"/>
        </w:rPr>
        <w:t>vs</w:t>
      </w:r>
      <w:r w:rsidR="00873916" w:rsidRPr="008E0A90">
        <w:rPr>
          <w:rFonts w:cs="Calibri"/>
          <w:sz w:val="24"/>
          <w:szCs w:val="24"/>
        </w:rPr>
        <w:t xml:space="preserve"> </w:t>
      </w:r>
      <w:r w:rsidRPr="008E0A90">
        <w:rPr>
          <w:rFonts w:cs="Calibri"/>
          <w:sz w:val="24"/>
          <w:szCs w:val="24"/>
        </w:rPr>
        <w:t>11</w:t>
      </w:r>
      <w:r w:rsidR="00873916" w:rsidRPr="008E0A90">
        <w:rPr>
          <w:rFonts w:cs="Calibri"/>
          <w:sz w:val="24"/>
          <w:szCs w:val="24"/>
        </w:rPr>
        <w:t>,</w:t>
      </w:r>
      <w:r w:rsidRPr="008E0A90">
        <w:rPr>
          <w:rFonts w:cs="Calibri"/>
          <w:sz w:val="24"/>
          <w:szCs w:val="24"/>
        </w:rPr>
        <w:t>4%).</w:t>
      </w:r>
    </w:p>
    <w:p w:rsidR="000003BE" w:rsidRPr="008E0A90" w:rsidRDefault="000003BE" w:rsidP="00FD0B90">
      <w:pPr>
        <w:jc w:val="both"/>
        <w:rPr>
          <w:rFonts w:cs="Calibri"/>
          <w:sz w:val="24"/>
          <w:szCs w:val="24"/>
        </w:rPr>
      </w:pPr>
      <w:r w:rsidRPr="008E0A90">
        <w:rPr>
          <w:rFonts w:cs="Calibri"/>
          <w:sz w:val="24"/>
          <w:szCs w:val="24"/>
        </w:rPr>
        <w:t>Il est à note</w:t>
      </w:r>
      <w:r w:rsidR="00907F36">
        <w:rPr>
          <w:rFonts w:cs="Calibri"/>
          <w:sz w:val="24"/>
          <w:szCs w:val="24"/>
        </w:rPr>
        <w:t>r que des enquêtes sont en cours</w:t>
      </w:r>
      <w:r w:rsidRPr="008E0A90">
        <w:rPr>
          <w:rFonts w:cs="Calibri"/>
          <w:sz w:val="24"/>
          <w:szCs w:val="24"/>
        </w:rPr>
        <w:t xml:space="preserve"> de réalisation par les services spécialisés pour évaluer les tendances en matière de l’insécurité alimentaire et de la malnutrition.</w:t>
      </w:r>
    </w:p>
    <w:p w:rsidR="000003BE" w:rsidRPr="008E0A90" w:rsidRDefault="000003BE" w:rsidP="00FD0B90">
      <w:pPr>
        <w:jc w:val="both"/>
        <w:rPr>
          <w:rFonts w:cs="Calibri"/>
          <w:b/>
          <w:bCs/>
          <w:sz w:val="24"/>
          <w:szCs w:val="24"/>
          <w:u w:val="single"/>
        </w:rPr>
      </w:pPr>
      <w:r w:rsidRPr="008E0A90">
        <w:rPr>
          <w:rFonts w:cs="Calibri"/>
          <w:b/>
          <w:bCs/>
          <w:sz w:val="24"/>
          <w:szCs w:val="24"/>
          <w:u w:val="single"/>
        </w:rPr>
        <w:t>L’accès des populations à l’eau potable</w:t>
      </w:r>
    </w:p>
    <w:p w:rsidR="000003BE" w:rsidRPr="008E0A90" w:rsidRDefault="000003BE" w:rsidP="00FD0B90">
      <w:pPr>
        <w:jc w:val="both"/>
        <w:rPr>
          <w:rFonts w:cs="Calibri"/>
          <w:sz w:val="24"/>
          <w:szCs w:val="24"/>
        </w:rPr>
      </w:pPr>
      <w:r w:rsidRPr="008E0A90">
        <w:rPr>
          <w:rFonts w:cs="Calibri"/>
          <w:sz w:val="24"/>
          <w:szCs w:val="24"/>
        </w:rPr>
        <w:t>La nouvelle constitution Algérienne de 2016 consacre, à travers son article 19, l'utilisation rationnelle des ressources naturelles ainsi que leur préservation au profit des générations futures.</w:t>
      </w:r>
    </w:p>
    <w:p w:rsidR="000003BE" w:rsidRPr="008E0A90" w:rsidRDefault="000003BE" w:rsidP="00FD0B90">
      <w:pPr>
        <w:jc w:val="both"/>
        <w:rPr>
          <w:rFonts w:cs="Calibri"/>
          <w:sz w:val="24"/>
          <w:szCs w:val="24"/>
        </w:rPr>
      </w:pPr>
      <w:r w:rsidRPr="008E0A90">
        <w:rPr>
          <w:rFonts w:cs="Calibri"/>
          <w:sz w:val="24"/>
          <w:szCs w:val="24"/>
        </w:rPr>
        <w:t xml:space="preserve">l’Algérie a engagé des réformes importantes pour la mise en œuvre des outils stratégiques de gestion intégrée de la ressource en eau, ce qui a conduit à revoir complètement la législation relative à l’eau à travers la </w:t>
      </w:r>
      <w:r w:rsidR="00385CF8">
        <w:rPr>
          <w:rFonts w:cs="Calibri"/>
          <w:sz w:val="24"/>
          <w:szCs w:val="24"/>
        </w:rPr>
        <w:t>Loi n°05-12 du  4 août 2005.Une</w:t>
      </w:r>
      <w:r w:rsidRPr="008E0A90">
        <w:rPr>
          <w:rFonts w:cs="Calibri"/>
          <w:sz w:val="24"/>
          <w:szCs w:val="24"/>
        </w:rPr>
        <w:t xml:space="preserve"> première ét</w:t>
      </w:r>
      <w:r w:rsidR="00385CF8">
        <w:rPr>
          <w:rFonts w:cs="Calibri"/>
          <w:sz w:val="24"/>
          <w:szCs w:val="24"/>
        </w:rPr>
        <w:t>ape de ce processus de réforme, dans le sens</w:t>
      </w:r>
      <w:r w:rsidRPr="008E0A90">
        <w:rPr>
          <w:rFonts w:cs="Calibri"/>
          <w:sz w:val="24"/>
          <w:szCs w:val="24"/>
        </w:rPr>
        <w:t xml:space="preserve"> d’une</w:t>
      </w:r>
      <w:r w:rsidR="00385CF8">
        <w:rPr>
          <w:rFonts w:cs="Calibri"/>
          <w:sz w:val="24"/>
          <w:szCs w:val="24"/>
        </w:rPr>
        <w:t xml:space="preserve"> politique nationale orientée vers</w:t>
      </w:r>
      <w:r w:rsidRPr="008E0A90">
        <w:rPr>
          <w:rFonts w:cs="Calibri"/>
          <w:sz w:val="24"/>
          <w:szCs w:val="24"/>
        </w:rPr>
        <w:t xml:space="preserve"> la préservation qualitative et quantitative de la ressource, la gestion rationnelle et économique planifiée à échelle du bassin versant, enfin l'association de partenaires publics-privés.</w:t>
      </w:r>
    </w:p>
    <w:p w:rsidR="000003BE" w:rsidRPr="008E0A90" w:rsidRDefault="000003BE" w:rsidP="00FD0B90">
      <w:pPr>
        <w:jc w:val="both"/>
        <w:rPr>
          <w:rFonts w:cs="Calibri"/>
          <w:sz w:val="24"/>
          <w:szCs w:val="24"/>
        </w:rPr>
      </w:pPr>
      <w:r w:rsidRPr="008E0A90">
        <w:rPr>
          <w:rFonts w:cs="Calibri"/>
          <w:sz w:val="24"/>
          <w:szCs w:val="24"/>
        </w:rPr>
        <w:lastRenderedPageBreak/>
        <w:t xml:space="preserve">Le secteur de l'eau se dotait de textes d’applications, 45 textes d’application de la loi sur l’eau publiés, de budgets et crédits, d’organismes </w:t>
      </w:r>
      <w:r w:rsidR="00385CF8">
        <w:rPr>
          <w:rFonts w:cs="Calibri"/>
          <w:sz w:val="24"/>
          <w:szCs w:val="24"/>
        </w:rPr>
        <w:t>opérationnels et de</w:t>
      </w:r>
      <w:r w:rsidRPr="008E0A90">
        <w:rPr>
          <w:rFonts w:cs="Calibri"/>
          <w:sz w:val="24"/>
          <w:szCs w:val="24"/>
        </w:rPr>
        <w:t xml:space="preserve"> personnel</w:t>
      </w:r>
      <w:r w:rsidR="00385CF8">
        <w:rPr>
          <w:rFonts w:cs="Calibri"/>
          <w:sz w:val="24"/>
          <w:szCs w:val="24"/>
        </w:rPr>
        <w:t xml:space="preserve"> qualifié afin  de mobiliser, répartir</w:t>
      </w:r>
      <w:r w:rsidRPr="008E0A90">
        <w:rPr>
          <w:rFonts w:cs="Calibri"/>
          <w:sz w:val="24"/>
          <w:szCs w:val="24"/>
        </w:rPr>
        <w:t xml:space="preserve"> et protéger au</w:t>
      </w:r>
      <w:r w:rsidR="00385CF8">
        <w:rPr>
          <w:rFonts w:cs="Calibri"/>
          <w:sz w:val="24"/>
          <w:szCs w:val="24"/>
        </w:rPr>
        <w:t xml:space="preserve"> mieux les</w:t>
      </w:r>
      <w:r w:rsidRPr="008E0A90">
        <w:rPr>
          <w:rFonts w:cs="Calibri"/>
          <w:sz w:val="24"/>
          <w:szCs w:val="24"/>
        </w:rPr>
        <w:t xml:space="preserve"> ressources en eau du pays.</w:t>
      </w:r>
    </w:p>
    <w:p w:rsidR="000003BE" w:rsidRPr="008E0A90" w:rsidRDefault="000003BE" w:rsidP="00FD0B90">
      <w:pPr>
        <w:jc w:val="both"/>
        <w:rPr>
          <w:rFonts w:cs="Calibri"/>
          <w:sz w:val="24"/>
          <w:szCs w:val="24"/>
        </w:rPr>
      </w:pPr>
      <w:r w:rsidRPr="008E0A90">
        <w:rPr>
          <w:rFonts w:cs="Calibri"/>
          <w:sz w:val="24"/>
          <w:szCs w:val="24"/>
        </w:rPr>
        <w:t>En matière de mobilisation de la ressource en eau, l’Algérie a réalisé 80 barrages d’une capacité de stockage de plus de 8,3 milliards de m3, 2 800 forages d’une capacité de production de plus de 3.200.000 m3/j, 11 grandes unités de dessalement d’eau de mer d’une capacité de production de 2,1 millions de m3/jour.</w:t>
      </w:r>
    </w:p>
    <w:p w:rsidR="000003BE" w:rsidRPr="008E0A90" w:rsidRDefault="000003BE" w:rsidP="00FD0B90">
      <w:pPr>
        <w:jc w:val="both"/>
        <w:rPr>
          <w:rFonts w:cs="Calibri"/>
          <w:sz w:val="24"/>
          <w:szCs w:val="24"/>
        </w:rPr>
      </w:pPr>
      <w:r w:rsidRPr="008E0A90">
        <w:rPr>
          <w:rFonts w:cs="Calibri"/>
          <w:sz w:val="24"/>
          <w:szCs w:val="24"/>
        </w:rPr>
        <w:t xml:space="preserve">Concernant l’alimentation en eau potable, le développement du réseau d’adduction et de distribution d’eau potable est passé de 55 000 km en 2001 à 127 000 km en 2016 permettant de transporter 3,6 milliards de m3 d’eau par an et d’améliorer le taux de raccordement de la population au réseau public d’eau potable de 94 % en 2013 à 98 % en 2019. En milieu urbain ce taux est de 100 %. Ces résultats notables dans ce domaine de priorité (119%) ont permis de situer l’indice de performance à un niveau très appréciable de 117 % dépassant par l’occasion le niveau prévu de 2019. </w:t>
      </w:r>
    </w:p>
    <w:p w:rsidR="000003BE" w:rsidRPr="009513E3" w:rsidRDefault="000003BE" w:rsidP="00B0008B">
      <w:pPr>
        <w:jc w:val="both"/>
        <w:rPr>
          <w:rFonts w:cs="Calibri"/>
          <w:b/>
          <w:bCs/>
          <w:sz w:val="24"/>
          <w:szCs w:val="24"/>
          <w:u w:val="single"/>
        </w:rPr>
      </w:pPr>
      <w:r w:rsidRPr="009513E3">
        <w:rPr>
          <w:rFonts w:cs="Calibri"/>
          <w:b/>
          <w:bCs/>
          <w:sz w:val="24"/>
          <w:szCs w:val="24"/>
          <w:u w:val="single"/>
        </w:rPr>
        <w:t>Habitat modernes et habitables et service de base de qualité</w:t>
      </w:r>
    </w:p>
    <w:p w:rsidR="00B11833" w:rsidRPr="008E0A90" w:rsidRDefault="00B11833" w:rsidP="00122C86">
      <w:pPr>
        <w:jc w:val="both"/>
        <w:rPr>
          <w:rFonts w:cs="Calibri"/>
          <w:sz w:val="24"/>
          <w:szCs w:val="24"/>
        </w:rPr>
      </w:pPr>
      <w:r w:rsidRPr="008E0A90">
        <w:rPr>
          <w:rFonts w:cs="Calibri"/>
          <w:sz w:val="24"/>
          <w:szCs w:val="24"/>
        </w:rPr>
        <w:t xml:space="preserve">En matière d’habitat, on peut noter avec beaucoup de satisfaction qu’il s’agit d’un registre d’excellence pour l’Algérie qui lui accorde la plus haute priorité puisqu’il s’agit d’un enjeu social avec l’accès pour tous à un </w:t>
      </w:r>
      <w:r w:rsidRPr="00122C86">
        <w:rPr>
          <w:rFonts w:cs="Calibri"/>
          <w:sz w:val="24"/>
          <w:szCs w:val="24"/>
        </w:rPr>
        <w:t>logement décent</w:t>
      </w:r>
      <w:r w:rsidR="00122C86" w:rsidRPr="00122C86">
        <w:rPr>
          <w:rFonts w:cs="Calibri"/>
          <w:sz w:val="24"/>
          <w:szCs w:val="24"/>
        </w:rPr>
        <w:t xml:space="preserve"> et a un</w:t>
      </w:r>
      <w:r w:rsidR="00385CF8" w:rsidRPr="00122C86">
        <w:rPr>
          <w:rFonts w:cs="Calibri"/>
          <w:sz w:val="24"/>
          <w:szCs w:val="24"/>
        </w:rPr>
        <w:t xml:space="preserve"> </w:t>
      </w:r>
      <w:r w:rsidRPr="00122C86">
        <w:rPr>
          <w:rFonts w:cs="Calibri"/>
          <w:sz w:val="24"/>
          <w:szCs w:val="24"/>
        </w:rPr>
        <w:t>coût</w:t>
      </w:r>
      <w:r w:rsidRPr="008E0A90">
        <w:rPr>
          <w:rFonts w:cs="Calibri"/>
          <w:sz w:val="24"/>
          <w:szCs w:val="24"/>
        </w:rPr>
        <w:t xml:space="preserve"> abordable. Dans ce domaine, l’effort de l’Algérie est très palpable et s’est traduit par la réalisation entre 2013 et 2018 plus de 1,5 millions d’unités de logements tout programme confondu (logements publics locatifs, logements promotionnels aidés, logements location-vente, logements promotionnels public). </w:t>
      </w:r>
    </w:p>
    <w:p w:rsidR="00B11833" w:rsidRPr="008E0A90" w:rsidRDefault="00B11833" w:rsidP="00385CF8">
      <w:pPr>
        <w:spacing w:line="240" w:lineRule="auto"/>
        <w:jc w:val="both"/>
        <w:rPr>
          <w:rFonts w:cs="Calibri"/>
          <w:sz w:val="24"/>
          <w:szCs w:val="24"/>
        </w:rPr>
      </w:pPr>
      <w:r w:rsidRPr="008E0A90">
        <w:rPr>
          <w:rFonts w:cs="Calibri"/>
          <w:sz w:val="24"/>
          <w:szCs w:val="24"/>
        </w:rPr>
        <w:t xml:space="preserve">Ces chiffres n’incluent pas l’auto-construction qui bénéficie également, sous certaines conditions, de l’aide de l’Etat. </w:t>
      </w:r>
    </w:p>
    <w:p w:rsidR="00B11833" w:rsidRPr="008E0A90" w:rsidRDefault="00B11833" w:rsidP="00385CF8">
      <w:pPr>
        <w:spacing w:line="240" w:lineRule="auto"/>
        <w:jc w:val="both"/>
        <w:rPr>
          <w:rFonts w:cs="Calibri"/>
          <w:sz w:val="24"/>
          <w:szCs w:val="24"/>
        </w:rPr>
      </w:pPr>
      <w:r w:rsidRPr="008E0A90">
        <w:rPr>
          <w:rFonts w:cs="Calibri"/>
          <w:sz w:val="24"/>
          <w:szCs w:val="24"/>
        </w:rPr>
        <w:t>Cet effort remarquable a permis de ramener le Taux d’Occupation du Logements (TOL) de 6,1 personnes par logement en 2013 à 5,5 en 2018 personnes par logement, ce qui contribue à l’amélioration des conditions de vie de ménages, notamment des catégories défavorisées).</w:t>
      </w:r>
    </w:p>
    <w:p w:rsidR="000003BE" w:rsidRPr="008E0A90" w:rsidRDefault="000003BE" w:rsidP="00B0008B">
      <w:pPr>
        <w:jc w:val="both"/>
        <w:rPr>
          <w:rFonts w:cs="Calibri"/>
          <w:sz w:val="24"/>
          <w:szCs w:val="24"/>
        </w:rPr>
      </w:pPr>
      <w:r w:rsidRPr="008E0A90">
        <w:rPr>
          <w:rFonts w:cs="Calibri"/>
          <w:sz w:val="24"/>
          <w:szCs w:val="24"/>
        </w:rPr>
        <w:t>L’accès à l’énergie constitue la condition préalable à tout progrès réel dans tous les domaines. Le secteur de l’énergie participe à la prospérité économique, au bien-être social ainsi qu’à la sécurité et au développement durable</w:t>
      </w:r>
    </w:p>
    <w:p w:rsidR="000003BE" w:rsidRPr="008E0A90" w:rsidRDefault="000003BE" w:rsidP="00FD0B90">
      <w:pPr>
        <w:jc w:val="both"/>
        <w:rPr>
          <w:rFonts w:cs="Calibri"/>
          <w:sz w:val="24"/>
          <w:szCs w:val="24"/>
        </w:rPr>
      </w:pPr>
      <w:r w:rsidRPr="008E0A90">
        <w:rPr>
          <w:rFonts w:cs="Calibri"/>
          <w:sz w:val="24"/>
          <w:szCs w:val="24"/>
        </w:rPr>
        <w:t xml:space="preserve"> Les efforts consentis par l’Etat en matière de renforcement de capacité de production d’électricité, mais aussi d’infrastructures de transport et de distribution ont permis d’assurer une couverture optimale du pays. De ce fait, aujourd’hui, la majorité des citoyens ont accès à l’électricité et au gaz (naturel ou butane) et cela, à des prix adaptés et très abordables pour le consommateur. </w:t>
      </w:r>
    </w:p>
    <w:p w:rsidR="000003BE" w:rsidRPr="008E0A90" w:rsidRDefault="000003BE" w:rsidP="00FD0B90">
      <w:pPr>
        <w:jc w:val="both"/>
        <w:rPr>
          <w:rFonts w:cs="Calibri"/>
          <w:sz w:val="24"/>
          <w:szCs w:val="24"/>
        </w:rPr>
      </w:pPr>
      <w:r w:rsidRPr="008E0A90">
        <w:rPr>
          <w:rFonts w:cs="Calibri"/>
          <w:sz w:val="24"/>
          <w:szCs w:val="24"/>
        </w:rPr>
        <w:t xml:space="preserve">C’est ainsi que le secteur, par le biais de la société Nationale de l’Electricité et du Gaz (Sonelgaz), s’est engagé, au milieu des années 1970, à réaliser un ambitieux programme de raccordement en électricité qui a permis une électrification quasi totale du territoire </w:t>
      </w:r>
      <w:r w:rsidRPr="008E0A90">
        <w:rPr>
          <w:rFonts w:cs="Calibri"/>
          <w:sz w:val="24"/>
          <w:szCs w:val="24"/>
        </w:rPr>
        <w:lastRenderedPageBreak/>
        <w:t xml:space="preserve">national tout en répondant à la croissance de la demande en électricité par la mise en place d’une capacité de production adéquate. </w:t>
      </w:r>
    </w:p>
    <w:p w:rsidR="000003BE" w:rsidRPr="008E0A90" w:rsidRDefault="000003BE" w:rsidP="00FD0B90">
      <w:pPr>
        <w:jc w:val="both"/>
        <w:rPr>
          <w:rFonts w:cs="Calibri"/>
          <w:sz w:val="24"/>
          <w:szCs w:val="24"/>
        </w:rPr>
      </w:pPr>
      <w:r w:rsidRPr="008E0A90">
        <w:rPr>
          <w:rFonts w:cs="Calibri"/>
          <w:sz w:val="24"/>
          <w:szCs w:val="24"/>
        </w:rPr>
        <w:t>Des efforts conséquents ont en effet été déployés par le secteur pour alimenter la population en électricité à travers la densification du réseau de transport et de distribution, qui est passé de 304 300 km à fin 2013 à 368 600 km à fin 2018, soit un réseau additionnel de plus de 64 300 km (accroissement annuel moyen de 3,9%) entre 2013 et 2018 couvrant pratiquement toutes les régions du pays. Ces efforts ont nécessité des investissements colossaux et moyens humains et matériels importants.</w:t>
      </w:r>
    </w:p>
    <w:p w:rsidR="000003BE" w:rsidRPr="008E0A90" w:rsidRDefault="000003BE" w:rsidP="00293789">
      <w:pPr>
        <w:jc w:val="both"/>
        <w:rPr>
          <w:rFonts w:cs="Calibri"/>
          <w:sz w:val="24"/>
          <w:szCs w:val="24"/>
        </w:rPr>
      </w:pPr>
      <w:r w:rsidRPr="008E0A90">
        <w:rPr>
          <w:rFonts w:cs="Calibri"/>
          <w:sz w:val="24"/>
          <w:szCs w:val="24"/>
        </w:rPr>
        <w:t>Tous ces efforts ont permis d’accroitre le taux de raccordement de la population à l’électricité de 97% en 2013 à 99% en 2019 dotant l’Algérie d’un potentiel en électricité à même de satisfaire d’une manière significative les besoins des populations et des activités économiques sur le territoire national.</w:t>
      </w:r>
    </w:p>
    <w:p w:rsidR="000003BE" w:rsidRDefault="000003BE" w:rsidP="00FD0B90">
      <w:pPr>
        <w:jc w:val="both"/>
        <w:rPr>
          <w:rFonts w:cs="Calibri"/>
          <w:sz w:val="24"/>
          <w:szCs w:val="24"/>
        </w:rPr>
      </w:pPr>
      <w:r w:rsidRPr="008E0A90">
        <w:rPr>
          <w:rFonts w:cs="Calibri"/>
          <w:sz w:val="24"/>
          <w:szCs w:val="24"/>
        </w:rPr>
        <w:t>Ainsi, et dans le domaine de la couverture en électricité, l’Algérie connait une quasi électrification de son territoire national avec un nombre d’abonnés au réseau électrique de 7,7 millions d’abonnés en 2013 et de 10 millions en 2019, avec une forte augmentation (+20%) de la consommation moyenne par client sur la période.</w:t>
      </w:r>
    </w:p>
    <w:p w:rsidR="000003BE" w:rsidRPr="005B198F" w:rsidRDefault="000003BE" w:rsidP="00FD0B90">
      <w:pPr>
        <w:jc w:val="both"/>
        <w:rPr>
          <w:rFonts w:cs="Calibri"/>
          <w:b/>
          <w:bCs/>
          <w:sz w:val="24"/>
          <w:szCs w:val="24"/>
        </w:rPr>
      </w:pPr>
      <w:r w:rsidRPr="007E638F">
        <w:rPr>
          <w:rFonts w:cs="Calibri"/>
          <w:b/>
          <w:bCs/>
          <w:sz w:val="24"/>
          <w:szCs w:val="24"/>
          <w:u w:val="single"/>
        </w:rPr>
        <w:t>Objectif 2</w:t>
      </w:r>
      <w:r w:rsidRPr="005B198F">
        <w:rPr>
          <w:rFonts w:cs="Calibri"/>
          <w:b/>
          <w:bCs/>
          <w:sz w:val="24"/>
          <w:szCs w:val="24"/>
        </w:rPr>
        <w:t xml:space="preserve"> : Des citoyens bien instruits et une révolution des compétences appuyée par la science, la technologie et l’innovation.</w:t>
      </w:r>
    </w:p>
    <w:p w:rsidR="00BF392D" w:rsidRPr="005B198F" w:rsidRDefault="00BF392D" w:rsidP="00293789">
      <w:pPr>
        <w:jc w:val="both"/>
        <w:rPr>
          <w:rFonts w:cs="Calibri"/>
          <w:sz w:val="24"/>
          <w:szCs w:val="24"/>
        </w:rPr>
      </w:pPr>
      <w:r w:rsidRPr="005B198F">
        <w:rPr>
          <w:rFonts w:cs="Calibri"/>
          <w:sz w:val="24"/>
          <w:szCs w:val="24"/>
        </w:rPr>
        <w:t>La constitution algérienne garanti</w:t>
      </w:r>
      <w:r w:rsidR="00B86761">
        <w:rPr>
          <w:rFonts w:cs="Calibri"/>
          <w:sz w:val="24"/>
          <w:szCs w:val="24"/>
        </w:rPr>
        <w:t>t</w:t>
      </w:r>
      <w:r w:rsidRPr="005B198F">
        <w:rPr>
          <w:rFonts w:cs="Calibri"/>
          <w:sz w:val="24"/>
          <w:szCs w:val="24"/>
        </w:rPr>
        <w:t xml:space="preserve"> un </w:t>
      </w:r>
      <w:r w:rsidR="002F26E1" w:rsidRPr="005B198F">
        <w:rPr>
          <w:rFonts w:cs="Calibri"/>
          <w:sz w:val="24"/>
          <w:szCs w:val="24"/>
        </w:rPr>
        <w:t>accès gratuit</w:t>
      </w:r>
      <w:r w:rsidRPr="005B198F">
        <w:rPr>
          <w:rFonts w:cs="Calibri"/>
          <w:sz w:val="24"/>
          <w:szCs w:val="24"/>
        </w:rPr>
        <w:t xml:space="preserve"> à tous les paliers de l’enseignement depuis la préscolaire jusqu’à l’université. De plus, elle rend obligatoire l’enseignement fondamental pour la tranche des jeunes entre 6 et 16 ans. </w:t>
      </w:r>
    </w:p>
    <w:p w:rsidR="00BF392D" w:rsidRPr="005B198F" w:rsidRDefault="00BF392D" w:rsidP="00293789">
      <w:pPr>
        <w:jc w:val="both"/>
        <w:rPr>
          <w:rFonts w:cs="Calibri"/>
          <w:sz w:val="24"/>
          <w:szCs w:val="24"/>
        </w:rPr>
      </w:pPr>
      <w:r w:rsidRPr="005B198F">
        <w:rPr>
          <w:rFonts w:cs="Calibri"/>
          <w:sz w:val="24"/>
          <w:szCs w:val="24"/>
        </w:rPr>
        <w:t>A ce titre, le taux de scolarisation au niveau du primaire est évalué en 2019 à 97,87%. Il est important de noter que comparativement à 2013 (99</w:t>
      </w:r>
      <w:r w:rsidR="00293789" w:rsidRPr="005B198F">
        <w:rPr>
          <w:rFonts w:cs="Calibri"/>
          <w:sz w:val="24"/>
          <w:szCs w:val="24"/>
        </w:rPr>
        <w:t>,</w:t>
      </w:r>
      <w:r w:rsidRPr="005B198F">
        <w:rPr>
          <w:rFonts w:cs="Calibri"/>
          <w:sz w:val="24"/>
          <w:szCs w:val="24"/>
        </w:rPr>
        <w:t>34%), il semblerait que le taux de scolarisation a</w:t>
      </w:r>
      <w:r w:rsidR="00B86761">
        <w:rPr>
          <w:rFonts w:cs="Calibri"/>
          <w:sz w:val="24"/>
          <w:szCs w:val="24"/>
        </w:rPr>
        <w:t>it</w:t>
      </w:r>
      <w:r w:rsidRPr="005B198F">
        <w:rPr>
          <w:rFonts w:cs="Calibri"/>
          <w:sz w:val="24"/>
          <w:szCs w:val="24"/>
        </w:rPr>
        <w:t xml:space="preserve"> légèrement fléchi en 2019, mais il convient de signaler que le taux de 2019 ne tient pas compte des élèves scolarisés au niveau des écoles privées de plus en plus nombreuses.</w:t>
      </w:r>
      <w:r w:rsidR="00293789" w:rsidRPr="005B198F">
        <w:rPr>
          <w:rFonts w:cs="Calibri"/>
          <w:sz w:val="24"/>
          <w:szCs w:val="24"/>
        </w:rPr>
        <w:t xml:space="preserve"> L’inclusion de cette population d’élève va certainement faire tendre le taux de scolarisation vers 100</w:t>
      </w:r>
      <w:r w:rsidR="00B86761">
        <w:rPr>
          <w:rFonts w:cs="Calibri"/>
          <w:sz w:val="24"/>
          <w:szCs w:val="24"/>
        </w:rPr>
        <w:t>%</w:t>
      </w:r>
      <w:r w:rsidR="00293789" w:rsidRPr="005B198F">
        <w:rPr>
          <w:rFonts w:cs="Calibri"/>
          <w:sz w:val="24"/>
          <w:szCs w:val="24"/>
        </w:rPr>
        <w:t>.</w:t>
      </w:r>
    </w:p>
    <w:p w:rsidR="00BF392D" w:rsidRPr="005B198F" w:rsidRDefault="00BF392D" w:rsidP="00293789">
      <w:pPr>
        <w:jc w:val="both"/>
        <w:rPr>
          <w:rFonts w:cs="Calibri"/>
          <w:sz w:val="24"/>
          <w:szCs w:val="24"/>
        </w:rPr>
      </w:pPr>
      <w:r w:rsidRPr="005B198F">
        <w:rPr>
          <w:rFonts w:cs="Calibri"/>
          <w:sz w:val="24"/>
          <w:szCs w:val="24"/>
        </w:rPr>
        <w:t>En outre, le taux de scolarisation dans le secondaire a substantiellement augmenté de 10,4% passant de 75,84% en 2013 à 84% en 2019.</w:t>
      </w:r>
    </w:p>
    <w:p w:rsidR="00BF392D" w:rsidRPr="005B198F" w:rsidRDefault="00BF392D" w:rsidP="00293789">
      <w:pPr>
        <w:jc w:val="both"/>
        <w:rPr>
          <w:rFonts w:cs="Calibri"/>
          <w:sz w:val="24"/>
          <w:szCs w:val="24"/>
        </w:rPr>
      </w:pPr>
      <w:r w:rsidRPr="005B198F">
        <w:rPr>
          <w:rFonts w:cs="Calibri"/>
          <w:sz w:val="24"/>
          <w:szCs w:val="24"/>
        </w:rPr>
        <w:t>Le nombre d’inscrits est passé de 7.725.856 en 2012-2013 à 9.211.640 en 2018-2019, soit un taux d’accroissement annuel moyen de 3,0% sur la période.</w:t>
      </w:r>
    </w:p>
    <w:p w:rsidR="00BF392D" w:rsidRPr="005B198F" w:rsidRDefault="00BF392D" w:rsidP="00293789">
      <w:pPr>
        <w:jc w:val="both"/>
        <w:rPr>
          <w:rFonts w:cs="Calibri"/>
          <w:sz w:val="24"/>
          <w:szCs w:val="24"/>
        </w:rPr>
      </w:pPr>
      <w:r w:rsidRPr="005B198F">
        <w:rPr>
          <w:rFonts w:cs="Calibri"/>
          <w:sz w:val="24"/>
          <w:szCs w:val="24"/>
        </w:rPr>
        <w:t>Il n’y a aucune forme de discrimination quant à l’accès à l’enseignement. Bien au contraire, l’Etat algérien prend en charge les catégories défavorisées puisqu’en sus de la gratuité des études, il accorde des aides et avantages comme les primes de scolarité, les cantines scolaires, le transport scolaire, le livre gratuit, …etc. Même les catégories particulières sont prises en charges puisque l’Etat algérien ouvre des classes spécialisées pour les handicapés avec un personnel spécialisé et un matériel pédagogique adapté.</w:t>
      </w:r>
    </w:p>
    <w:p w:rsidR="00BF392D" w:rsidRPr="005B198F" w:rsidRDefault="00B86761" w:rsidP="00293789">
      <w:pPr>
        <w:jc w:val="both"/>
        <w:rPr>
          <w:rFonts w:cs="Calibri"/>
          <w:sz w:val="24"/>
          <w:szCs w:val="24"/>
        </w:rPr>
      </w:pPr>
      <w:r>
        <w:rPr>
          <w:rFonts w:cs="Calibri"/>
          <w:sz w:val="24"/>
          <w:szCs w:val="24"/>
        </w:rPr>
        <w:t>Signalons,</w:t>
      </w:r>
      <w:r w:rsidR="00BF392D" w:rsidRPr="005B198F">
        <w:rPr>
          <w:rFonts w:cs="Calibri"/>
          <w:sz w:val="24"/>
          <w:szCs w:val="24"/>
        </w:rPr>
        <w:t xml:space="preserve"> </w:t>
      </w:r>
      <w:r>
        <w:rPr>
          <w:rFonts w:cs="Calibri"/>
          <w:sz w:val="24"/>
          <w:szCs w:val="24"/>
        </w:rPr>
        <w:t>en outre,</w:t>
      </w:r>
      <w:r w:rsidR="00BF392D" w:rsidRPr="005B198F">
        <w:rPr>
          <w:rFonts w:cs="Calibri"/>
          <w:sz w:val="24"/>
          <w:szCs w:val="24"/>
        </w:rPr>
        <w:t xml:space="preserve"> que la question de la qualité de l’enseignement est au cœur des priorités de l’Etat algérien. Le rythme d’accroissement des effectifs des enseignants de </w:t>
      </w:r>
      <w:r w:rsidR="00BF392D" w:rsidRPr="005B198F">
        <w:rPr>
          <w:rFonts w:cs="Calibri"/>
          <w:sz w:val="24"/>
          <w:szCs w:val="24"/>
        </w:rPr>
        <w:lastRenderedPageBreak/>
        <w:t xml:space="preserve">l’éducation nationale a augmenté de manière plus soutenue que le rythme d’accroissement des effectifs d’élèves, ce qui a certainement amélioré de manière significative la prise en charge pédagogique des élèves. Ainsi et à titre d’exemple, le taux d’encadrement dans le cycle primaire 27,5 élèves par enseignant en 2012-2013 à près de 23 élèves par </w:t>
      </w:r>
      <w:r w:rsidR="00B02D86" w:rsidRPr="005B198F">
        <w:rPr>
          <w:rFonts w:cs="Calibri"/>
          <w:sz w:val="24"/>
          <w:szCs w:val="24"/>
        </w:rPr>
        <w:t>enseignants en</w:t>
      </w:r>
      <w:r w:rsidR="00BF392D" w:rsidRPr="005B198F">
        <w:rPr>
          <w:rFonts w:cs="Calibri"/>
          <w:sz w:val="24"/>
          <w:szCs w:val="24"/>
        </w:rPr>
        <w:t xml:space="preserve"> 2018-2019.</w:t>
      </w:r>
    </w:p>
    <w:p w:rsidR="00BF392D" w:rsidRPr="005B198F" w:rsidRDefault="00BF392D" w:rsidP="00293789">
      <w:pPr>
        <w:jc w:val="both"/>
        <w:rPr>
          <w:rFonts w:cs="Calibri"/>
          <w:sz w:val="24"/>
          <w:szCs w:val="24"/>
        </w:rPr>
      </w:pPr>
      <w:r w:rsidRPr="005B198F">
        <w:rPr>
          <w:rFonts w:cs="Calibri"/>
          <w:sz w:val="24"/>
          <w:szCs w:val="24"/>
        </w:rPr>
        <w:t>Notons</w:t>
      </w:r>
      <w:r w:rsidR="00B86761">
        <w:rPr>
          <w:rFonts w:cs="Calibri"/>
          <w:sz w:val="24"/>
          <w:szCs w:val="24"/>
        </w:rPr>
        <w:t>,</w:t>
      </w:r>
      <w:r w:rsidRPr="005B198F">
        <w:rPr>
          <w:rFonts w:cs="Calibri"/>
          <w:sz w:val="24"/>
          <w:szCs w:val="24"/>
        </w:rPr>
        <w:t xml:space="preserve"> </w:t>
      </w:r>
      <w:r w:rsidR="00B86761" w:rsidRPr="005B198F">
        <w:rPr>
          <w:rFonts w:cs="Calibri"/>
          <w:sz w:val="24"/>
          <w:szCs w:val="24"/>
        </w:rPr>
        <w:t>enfin,</w:t>
      </w:r>
      <w:r w:rsidR="00B86761">
        <w:rPr>
          <w:rFonts w:cs="Calibri"/>
          <w:sz w:val="24"/>
          <w:szCs w:val="24"/>
        </w:rPr>
        <w:t xml:space="preserve"> </w:t>
      </w:r>
      <w:r w:rsidRPr="005B198F">
        <w:rPr>
          <w:rFonts w:cs="Calibri"/>
          <w:sz w:val="24"/>
          <w:szCs w:val="24"/>
        </w:rPr>
        <w:t xml:space="preserve">que la proportion des enseignants qualifiés est à son maximum soit 100%. Cela est compréhensible lorsqu’on connait les conditions d’accès au poste d’enseignant axées sur la qualification principalement le diplôme et la réussite au concours.  </w:t>
      </w:r>
    </w:p>
    <w:p w:rsidR="000003BE" w:rsidRPr="009513E3" w:rsidRDefault="000003BE" w:rsidP="00FD0B90">
      <w:pPr>
        <w:jc w:val="both"/>
        <w:rPr>
          <w:rFonts w:cs="Calibri"/>
          <w:b/>
          <w:bCs/>
          <w:sz w:val="24"/>
          <w:szCs w:val="24"/>
        </w:rPr>
      </w:pPr>
      <w:r w:rsidRPr="007E638F">
        <w:rPr>
          <w:rFonts w:cs="Calibri"/>
          <w:b/>
          <w:bCs/>
          <w:sz w:val="24"/>
          <w:szCs w:val="24"/>
          <w:u w:val="single"/>
        </w:rPr>
        <w:t>Objectif 3</w:t>
      </w:r>
      <w:r w:rsidRPr="009513E3">
        <w:rPr>
          <w:rFonts w:cs="Calibri"/>
          <w:b/>
          <w:bCs/>
          <w:sz w:val="24"/>
          <w:szCs w:val="24"/>
        </w:rPr>
        <w:t xml:space="preserve"> : Des citoyens en bonne santé et bien nourris</w:t>
      </w:r>
    </w:p>
    <w:p w:rsidR="00BF392D" w:rsidRPr="008E0A90" w:rsidRDefault="00BF392D" w:rsidP="0072647E">
      <w:pPr>
        <w:jc w:val="both"/>
        <w:rPr>
          <w:rFonts w:cs="Calibri"/>
          <w:sz w:val="24"/>
          <w:szCs w:val="24"/>
        </w:rPr>
      </w:pPr>
      <w:r w:rsidRPr="008E0A90">
        <w:rPr>
          <w:rFonts w:cs="Calibri"/>
          <w:sz w:val="24"/>
          <w:szCs w:val="24"/>
        </w:rPr>
        <w:t xml:space="preserve">De manière indéniable le système sanitaire algérien a connu des </w:t>
      </w:r>
      <w:r w:rsidR="0072647E">
        <w:rPr>
          <w:rFonts w:cs="Calibri"/>
          <w:sz w:val="24"/>
          <w:szCs w:val="24"/>
        </w:rPr>
        <w:t>améliorations sensibles et</w:t>
      </w:r>
      <w:r w:rsidRPr="008E0A90">
        <w:rPr>
          <w:rFonts w:cs="Calibri"/>
          <w:sz w:val="24"/>
          <w:szCs w:val="24"/>
        </w:rPr>
        <w:t xml:space="preserve"> significatives. Un ensemble cohérent et intégré de mesures a été à l’origine de ces avancées comme la gratuité de la médecine, le développement des infrastructures, la disponibilité d’un corps médical, …etc. </w:t>
      </w:r>
    </w:p>
    <w:p w:rsidR="00BF392D" w:rsidRPr="008E0A90" w:rsidRDefault="00BF392D" w:rsidP="00BF392D">
      <w:pPr>
        <w:jc w:val="both"/>
        <w:rPr>
          <w:rFonts w:cs="Calibri"/>
          <w:sz w:val="24"/>
          <w:szCs w:val="24"/>
        </w:rPr>
      </w:pPr>
      <w:r w:rsidRPr="008E0A90">
        <w:rPr>
          <w:rFonts w:cs="Calibri"/>
          <w:sz w:val="24"/>
          <w:szCs w:val="24"/>
        </w:rPr>
        <w:t>En dépit de la rareté des ressources, les subventions accordées aux hôpitaux ont augmenté passant de 308,4 milliards de DA en 2013 à 321,6 milliards de DA en 2018. Le nombre de médecins est passé 66.236 médecins toutes spécialités confondues en 2013 à plus de 80.000 médecins en 2018 ce qui a ramené le ratio « nombre de médecins pour 1000 habitants » de 1,73 en 2013 à 2 en 2018.</w:t>
      </w:r>
    </w:p>
    <w:p w:rsidR="00BF392D" w:rsidRPr="008E0A90" w:rsidRDefault="00BF392D" w:rsidP="0072647E">
      <w:pPr>
        <w:jc w:val="both"/>
        <w:rPr>
          <w:rFonts w:cs="Calibri"/>
          <w:sz w:val="24"/>
          <w:szCs w:val="24"/>
        </w:rPr>
      </w:pPr>
      <w:r w:rsidRPr="008E0A90">
        <w:rPr>
          <w:rFonts w:cs="Calibri"/>
          <w:sz w:val="24"/>
          <w:szCs w:val="24"/>
        </w:rPr>
        <w:t>Il faut dire que l’amélioration</w:t>
      </w:r>
      <w:r w:rsidR="0072647E">
        <w:rPr>
          <w:rFonts w:cs="Calibri"/>
          <w:sz w:val="24"/>
          <w:szCs w:val="24"/>
        </w:rPr>
        <w:t xml:space="preserve"> de la santé maternelle et infantile conjuguée à celle des conditions de vie des ménages</w:t>
      </w:r>
      <w:r w:rsidRPr="008E0A90">
        <w:rPr>
          <w:rFonts w:cs="Calibri"/>
          <w:sz w:val="24"/>
          <w:szCs w:val="24"/>
        </w:rPr>
        <w:t xml:space="preserve"> algériens a été à l’origine de l’augmentation de l’espérance de vie à la naissance</w:t>
      </w:r>
      <w:r w:rsidR="0072647E">
        <w:rPr>
          <w:rFonts w:cs="Calibri"/>
          <w:sz w:val="24"/>
          <w:szCs w:val="24"/>
        </w:rPr>
        <w:t xml:space="preserve">.  Comparée à 2013, l’espérance de vie à la naissance a eu un gain de 0,7 an en 2018 en passant de </w:t>
      </w:r>
      <w:r w:rsidRPr="008E0A90">
        <w:rPr>
          <w:rFonts w:cs="Calibri"/>
          <w:sz w:val="24"/>
          <w:szCs w:val="24"/>
        </w:rPr>
        <w:t xml:space="preserve">77,0 ans </w:t>
      </w:r>
      <w:r w:rsidR="0072647E">
        <w:rPr>
          <w:rFonts w:cs="Calibri"/>
          <w:sz w:val="24"/>
          <w:szCs w:val="24"/>
        </w:rPr>
        <w:t xml:space="preserve">à </w:t>
      </w:r>
      <w:r w:rsidRPr="008E0A90">
        <w:rPr>
          <w:rFonts w:cs="Calibri"/>
          <w:sz w:val="24"/>
          <w:szCs w:val="24"/>
        </w:rPr>
        <w:t xml:space="preserve"> 77,7 ans </w:t>
      </w:r>
      <w:r w:rsidR="0072647E">
        <w:rPr>
          <w:rFonts w:cs="Calibri"/>
          <w:sz w:val="24"/>
          <w:szCs w:val="24"/>
        </w:rPr>
        <w:t>respectivement.</w:t>
      </w:r>
      <w:r w:rsidRPr="008E0A90">
        <w:rPr>
          <w:rFonts w:cs="Calibri"/>
          <w:sz w:val="24"/>
          <w:szCs w:val="24"/>
        </w:rPr>
        <w:t xml:space="preserve"> Pour les femmes, l’espérance de vie à la naissance est passée de 77,6 ans en 2013</w:t>
      </w:r>
      <w:r w:rsidR="0072647E">
        <w:rPr>
          <w:rFonts w:cs="Calibri"/>
          <w:sz w:val="24"/>
          <w:szCs w:val="24"/>
        </w:rPr>
        <w:t xml:space="preserve"> à 78,4 ans en 2018 contre 76,5 ans et 77,1  respectivement </w:t>
      </w:r>
      <w:r w:rsidRPr="008E0A90">
        <w:rPr>
          <w:rFonts w:cs="Calibri"/>
          <w:sz w:val="24"/>
          <w:szCs w:val="24"/>
        </w:rPr>
        <w:t>pour les hommes.</w:t>
      </w:r>
    </w:p>
    <w:p w:rsidR="00BF392D" w:rsidRPr="008E0A90" w:rsidRDefault="00BF392D" w:rsidP="00184A74">
      <w:pPr>
        <w:jc w:val="both"/>
        <w:rPr>
          <w:rFonts w:cs="Calibri"/>
          <w:sz w:val="24"/>
          <w:szCs w:val="24"/>
        </w:rPr>
      </w:pPr>
      <w:r w:rsidRPr="008E0A90">
        <w:rPr>
          <w:rFonts w:cs="Calibri"/>
          <w:sz w:val="24"/>
          <w:szCs w:val="24"/>
        </w:rPr>
        <w:t xml:space="preserve">En matière de mortalité maternelle, l’Algérie </w:t>
      </w:r>
      <w:r w:rsidR="00184A74">
        <w:rPr>
          <w:rFonts w:cs="Calibri"/>
          <w:sz w:val="24"/>
          <w:szCs w:val="24"/>
        </w:rPr>
        <w:t xml:space="preserve">n’a ménagé aucun efforts pour réduire </w:t>
      </w:r>
      <w:r w:rsidRPr="008E0A90">
        <w:rPr>
          <w:rFonts w:cs="Calibri"/>
          <w:sz w:val="24"/>
          <w:szCs w:val="24"/>
        </w:rPr>
        <w:t xml:space="preserve">de manière significative le Taux de Mortalité Maternelle (TTM) et ce, à travers </w:t>
      </w:r>
      <w:r w:rsidR="00184A74">
        <w:rPr>
          <w:rFonts w:cs="Calibri"/>
          <w:sz w:val="24"/>
          <w:szCs w:val="24"/>
        </w:rPr>
        <w:t xml:space="preserve">notamment </w:t>
      </w:r>
      <w:r w:rsidRPr="008E0A90">
        <w:rPr>
          <w:rFonts w:cs="Calibri"/>
          <w:sz w:val="24"/>
          <w:szCs w:val="24"/>
        </w:rPr>
        <w:t>la mise en œuvre du Plan National de</w:t>
      </w:r>
      <w:r w:rsidR="00184A74">
        <w:rPr>
          <w:rFonts w:cs="Calibri"/>
          <w:sz w:val="24"/>
          <w:szCs w:val="24"/>
        </w:rPr>
        <w:t xml:space="preserve"> Réduction Accélérée </w:t>
      </w:r>
      <w:r w:rsidRPr="008E0A90">
        <w:rPr>
          <w:rFonts w:cs="Calibri"/>
          <w:sz w:val="24"/>
          <w:szCs w:val="24"/>
        </w:rPr>
        <w:t xml:space="preserve"> de la mortalité Maternelle sur la période 2015-2019</w:t>
      </w:r>
      <w:r w:rsidR="00184A74">
        <w:rPr>
          <w:rFonts w:cs="Calibri"/>
          <w:sz w:val="24"/>
          <w:szCs w:val="24"/>
        </w:rPr>
        <w:t xml:space="preserve"> et le renforcement du programme national de périnatalité, adopté en 2005, pour la période 2016-2020.</w:t>
      </w:r>
      <w:r w:rsidRPr="008E0A90">
        <w:rPr>
          <w:rFonts w:cs="Calibri"/>
          <w:sz w:val="24"/>
          <w:szCs w:val="24"/>
        </w:rPr>
        <w:t xml:space="preserve"> </w:t>
      </w:r>
    </w:p>
    <w:p w:rsidR="00BF392D" w:rsidRPr="008E0A90" w:rsidRDefault="00BF392D" w:rsidP="00686658">
      <w:pPr>
        <w:jc w:val="both"/>
        <w:rPr>
          <w:rFonts w:cs="Calibri"/>
          <w:sz w:val="24"/>
          <w:szCs w:val="24"/>
        </w:rPr>
      </w:pPr>
      <w:r w:rsidRPr="008E0A90">
        <w:rPr>
          <w:rFonts w:cs="Calibri"/>
          <w:sz w:val="24"/>
          <w:szCs w:val="24"/>
        </w:rPr>
        <w:t>Les résultats</w:t>
      </w:r>
      <w:r w:rsidR="00184A74">
        <w:rPr>
          <w:rFonts w:cs="Calibri"/>
          <w:sz w:val="24"/>
          <w:szCs w:val="24"/>
        </w:rPr>
        <w:t xml:space="preserve"> obtenus sont, à ce titre, très encourageants. L</w:t>
      </w:r>
      <w:r w:rsidRPr="008E0A90">
        <w:rPr>
          <w:rFonts w:cs="Calibri"/>
          <w:sz w:val="24"/>
          <w:szCs w:val="24"/>
        </w:rPr>
        <w:t>e TMM a été ramené de 6</w:t>
      </w:r>
      <w:r w:rsidR="00184A74">
        <w:rPr>
          <w:rFonts w:cs="Calibri"/>
          <w:sz w:val="24"/>
          <w:szCs w:val="24"/>
        </w:rPr>
        <w:t>5</w:t>
      </w:r>
      <w:r w:rsidRPr="008E0A90">
        <w:rPr>
          <w:rFonts w:cs="Calibri"/>
          <w:sz w:val="24"/>
          <w:szCs w:val="24"/>
        </w:rPr>
        <w:t xml:space="preserve">,9 décès pour 100.000 naissances vivantes en 2013 </w:t>
      </w:r>
      <w:r w:rsidR="00B02D86" w:rsidRPr="008E0A90">
        <w:rPr>
          <w:rFonts w:cs="Calibri"/>
          <w:sz w:val="24"/>
          <w:szCs w:val="24"/>
        </w:rPr>
        <w:t>à 57</w:t>
      </w:r>
      <w:r w:rsidRPr="008E0A90">
        <w:rPr>
          <w:rFonts w:cs="Calibri"/>
          <w:sz w:val="24"/>
          <w:szCs w:val="24"/>
        </w:rPr>
        <w:t>,7 décès pour 100.000 naissances vivantes en 2016.</w:t>
      </w:r>
    </w:p>
    <w:p w:rsidR="00686658" w:rsidRDefault="00686658" w:rsidP="00686658">
      <w:pPr>
        <w:jc w:val="both"/>
        <w:rPr>
          <w:rFonts w:cs="Calibri"/>
          <w:sz w:val="24"/>
          <w:szCs w:val="24"/>
        </w:rPr>
      </w:pPr>
      <w:r>
        <w:rPr>
          <w:rFonts w:cs="Calibri"/>
          <w:sz w:val="24"/>
          <w:szCs w:val="24"/>
        </w:rPr>
        <w:t xml:space="preserve">Quant à la </w:t>
      </w:r>
      <w:r w:rsidR="00BF392D" w:rsidRPr="008E0A90">
        <w:rPr>
          <w:rFonts w:cs="Calibri"/>
          <w:sz w:val="24"/>
          <w:szCs w:val="24"/>
        </w:rPr>
        <w:t>mortalité des enfants de moins de cinq (05) ans</w:t>
      </w:r>
      <w:r>
        <w:rPr>
          <w:rFonts w:cs="Calibri"/>
          <w:sz w:val="24"/>
          <w:szCs w:val="24"/>
        </w:rPr>
        <w:t xml:space="preserve">, le taux a baissé de -7,3% en passant de 26,1 décès pour </w:t>
      </w:r>
      <w:r w:rsidR="00BF392D" w:rsidRPr="008E0A90">
        <w:rPr>
          <w:rFonts w:cs="Calibri"/>
          <w:sz w:val="24"/>
          <w:szCs w:val="24"/>
        </w:rPr>
        <w:t>1.000 naissances vivantes</w:t>
      </w:r>
      <w:r>
        <w:rPr>
          <w:rFonts w:cs="Calibri"/>
          <w:sz w:val="24"/>
          <w:szCs w:val="24"/>
        </w:rPr>
        <w:t xml:space="preserve"> en 2013 à 57,7 décès maternels pour 1.000 naissances vivantes, en 2018.</w:t>
      </w:r>
    </w:p>
    <w:p w:rsidR="00686658" w:rsidRDefault="00686658" w:rsidP="00686658">
      <w:pPr>
        <w:jc w:val="both"/>
        <w:rPr>
          <w:rFonts w:cs="Calibri"/>
          <w:sz w:val="24"/>
          <w:szCs w:val="24"/>
        </w:rPr>
      </w:pPr>
      <w:r>
        <w:rPr>
          <w:rFonts w:cs="Calibri"/>
          <w:sz w:val="24"/>
          <w:szCs w:val="24"/>
        </w:rPr>
        <w:t xml:space="preserve">Les différents </w:t>
      </w:r>
      <w:r w:rsidR="00BF392D" w:rsidRPr="008E0A90">
        <w:rPr>
          <w:rFonts w:cs="Calibri"/>
          <w:sz w:val="24"/>
          <w:szCs w:val="24"/>
        </w:rPr>
        <w:t xml:space="preserve">programmes </w:t>
      </w:r>
      <w:r>
        <w:rPr>
          <w:rFonts w:cs="Calibri"/>
          <w:sz w:val="24"/>
          <w:szCs w:val="24"/>
        </w:rPr>
        <w:t>nationaux notamment de prévention développés en direction des enfants de moins de cinq (05) ans (</w:t>
      </w:r>
      <w:r w:rsidRPr="008E0A90">
        <w:rPr>
          <w:rFonts w:cs="Calibri"/>
          <w:sz w:val="24"/>
          <w:szCs w:val="24"/>
        </w:rPr>
        <w:t>programme élargi de vaccination,</w:t>
      </w:r>
      <w:r>
        <w:rPr>
          <w:rFonts w:cs="Calibri"/>
          <w:sz w:val="24"/>
          <w:szCs w:val="24"/>
        </w:rPr>
        <w:t xml:space="preserve"> programme de promotion d’allaitement maternels, programme de lutte contre les carences en micronutriments,…) ont permis des gains importants. Le taux de Mortalité Infantile (TMI) a </w:t>
      </w:r>
      <w:r w:rsidR="00BF392D" w:rsidRPr="008E0A90">
        <w:rPr>
          <w:rFonts w:cs="Calibri"/>
          <w:sz w:val="24"/>
          <w:szCs w:val="24"/>
        </w:rPr>
        <w:t xml:space="preserve"> </w:t>
      </w:r>
      <w:r w:rsidR="00BF392D" w:rsidRPr="008E0A90">
        <w:rPr>
          <w:rFonts w:cs="Calibri"/>
          <w:sz w:val="24"/>
          <w:szCs w:val="24"/>
        </w:rPr>
        <w:lastRenderedPageBreak/>
        <w:t>baissé passant de 22,4‰ en 2013 à 21‰ en 2018. Décliné selon le genre, de taux est en 2018 de 22,5</w:t>
      </w:r>
      <w:r w:rsidRPr="008E0A90">
        <w:rPr>
          <w:rFonts w:cs="Calibri"/>
          <w:sz w:val="24"/>
          <w:szCs w:val="24"/>
        </w:rPr>
        <w:t>‰</w:t>
      </w:r>
      <w:r w:rsidR="00BF392D" w:rsidRPr="008E0A90">
        <w:rPr>
          <w:rFonts w:cs="Calibri"/>
          <w:sz w:val="24"/>
          <w:szCs w:val="24"/>
        </w:rPr>
        <w:t xml:space="preserve"> pour les garçons et seulement de 19,5‰ pour les filles.</w:t>
      </w:r>
    </w:p>
    <w:p w:rsidR="00686658" w:rsidRDefault="00686658" w:rsidP="00686658">
      <w:pPr>
        <w:jc w:val="both"/>
        <w:rPr>
          <w:rFonts w:cs="Calibri"/>
          <w:sz w:val="24"/>
          <w:szCs w:val="24"/>
        </w:rPr>
      </w:pPr>
      <w:r>
        <w:rPr>
          <w:rFonts w:cs="Calibri"/>
          <w:sz w:val="24"/>
          <w:szCs w:val="24"/>
        </w:rPr>
        <w:t>En termes de morbidité, les résultats sont également significatifs grâce notamment à la poursuite de la consolidation des programmes nationaux de prévention. Ainsi :</w:t>
      </w:r>
    </w:p>
    <w:p w:rsidR="00BF392D" w:rsidRPr="008E0A90" w:rsidRDefault="00BF392D" w:rsidP="00686658">
      <w:pPr>
        <w:pStyle w:val="ListParagraph"/>
        <w:numPr>
          <w:ilvl w:val="0"/>
          <w:numId w:val="3"/>
        </w:numPr>
        <w:jc w:val="both"/>
        <w:rPr>
          <w:rFonts w:cs="Calibri"/>
          <w:sz w:val="24"/>
          <w:szCs w:val="24"/>
        </w:rPr>
      </w:pPr>
      <w:r w:rsidRPr="008E0A90">
        <w:rPr>
          <w:rFonts w:cs="Calibri"/>
          <w:sz w:val="24"/>
          <w:szCs w:val="24"/>
        </w:rPr>
        <w:t>L’incidence de la tuberculose, toutes formes confondues</w:t>
      </w:r>
      <w:r w:rsidR="00686658">
        <w:rPr>
          <w:rFonts w:cs="Calibri"/>
          <w:sz w:val="24"/>
          <w:szCs w:val="24"/>
        </w:rPr>
        <w:t xml:space="preserve">, a baissé de </w:t>
      </w:r>
      <w:r w:rsidRPr="008E0A90">
        <w:rPr>
          <w:rFonts w:cs="Calibri"/>
          <w:sz w:val="24"/>
          <w:szCs w:val="24"/>
        </w:rPr>
        <w:t>0,574 cas pour 1000 en 201</w:t>
      </w:r>
      <w:r w:rsidR="00B02D86" w:rsidRPr="008E0A90">
        <w:rPr>
          <w:rFonts w:cs="Calibri"/>
          <w:sz w:val="24"/>
          <w:szCs w:val="24"/>
        </w:rPr>
        <w:t>3 à 0,536 cas pour 1000 en 2018;</w:t>
      </w:r>
    </w:p>
    <w:p w:rsidR="00BF392D" w:rsidRDefault="00BF392D" w:rsidP="00686658">
      <w:pPr>
        <w:pStyle w:val="ListParagraph"/>
        <w:numPr>
          <w:ilvl w:val="0"/>
          <w:numId w:val="3"/>
        </w:numPr>
        <w:jc w:val="both"/>
        <w:rPr>
          <w:rFonts w:cs="Calibri"/>
          <w:sz w:val="24"/>
          <w:szCs w:val="24"/>
        </w:rPr>
      </w:pPr>
      <w:r w:rsidRPr="008E0A90">
        <w:rPr>
          <w:rFonts w:cs="Calibri"/>
          <w:sz w:val="24"/>
          <w:szCs w:val="24"/>
        </w:rPr>
        <w:t xml:space="preserve">L’incidence du paludisme </w:t>
      </w:r>
      <w:r w:rsidR="00686658">
        <w:rPr>
          <w:rFonts w:cs="Calibri"/>
          <w:sz w:val="24"/>
          <w:szCs w:val="24"/>
        </w:rPr>
        <w:t xml:space="preserve">ne constitue plus un problème de santé majeur. Son incidence est passée de </w:t>
      </w:r>
      <w:r w:rsidRPr="008E0A90">
        <w:rPr>
          <w:rFonts w:cs="Calibri"/>
          <w:sz w:val="24"/>
          <w:szCs w:val="24"/>
        </w:rPr>
        <w:t>0,0014 cas pour 1000 en 2013 et 0.001 cas pour 1000 e</w:t>
      </w:r>
      <w:r w:rsidR="00B02D86" w:rsidRPr="008E0A90">
        <w:rPr>
          <w:rFonts w:cs="Calibri"/>
          <w:sz w:val="24"/>
          <w:szCs w:val="24"/>
        </w:rPr>
        <w:t>n 2018</w:t>
      </w:r>
      <w:r w:rsidR="00686658">
        <w:rPr>
          <w:rFonts w:cs="Calibri"/>
          <w:sz w:val="24"/>
          <w:szCs w:val="24"/>
        </w:rPr>
        <w:t xml:space="preserve"> donnant lieu, de 22 mai 2019, à la certification de l’élimination du </w:t>
      </w:r>
      <w:r w:rsidR="007E638F">
        <w:rPr>
          <w:rFonts w:cs="Calibri"/>
          <w:sz w:val="24"/>
          <w:szCs w:val="24"/>
        </w:rPr>
        <w:t>paludisme</w:t>
      </w:r>
      <w:r w:rsidR="00686658">
        <w:rPr>
          <w:rFonts w:cs="Calibri"/>
          <w:sz w:val="24"/>
          <w:szCs w:val="24"/>
        </w:rPr>
        <w:t xml:space="preserve"> par l’OMS lors de sa 72</w:t>
      </w:r>
      <w:r w:rsidR="00686658" w:rsidRPr="00686658">
        <w:rPr>
          <w:rFonts w:cs="Calibri"/>
          <w:sz w:val="24"/>
          <w:szCs w:val="24"/>
          <w:vertAlign w:val="superscript"/>
        </w:rPr>
        <w:t>ème</w:t>
      </w:r>
      <w:r w:rsidR="00686658">
        <w:rPr>
          <w:rFonts w:cs="Calibri"/>
          <w:sz w:val="24"/>
          <w:szCs w:val="24"/>
        </w:rPr>
        <w:t xml:space="preserve"> Assemblée Générale ;</w:t>
      </w:r>
    </w:p>
    <w:p w:rsidR="00B02D86" w:rsidRPr="007E638F" w:rsidRDefault="00B02D86" w:rsidP="00B02D86">
      <w:pPr>
        <w:pStyle w:val="ListParagraph"/>
        <w:numPr>
          <w:ilvl w:val="0"/>
          <w:numId w:val="3"/>
        </w:numPr>
        <w:jc w:val="both"/>
        <w:rPr>
          <w:rFonts w:cs="Calibri"/>
          <w:sz w:val="24"/>
          <w:szCs w:val="24"/>
        </w:rPr>
      </w:pPr>
      <w:r w:rsidRPr="008E0A90">
        <w:rPr>
          <w:rFonts w:cs="Calibri"/>
          <w:sz w:val="24"/>
          <w:szCs w:val="24"/>
        </w:rPr>
        <w:t xml:space="preserve">Le nombre de nouvelles infections VIH (nombre de cas de SIDA maladie plus le nombre de cas HIV séropositif) pour 1.000 habitants diminue sensiblement passant de 0,0025 cas en 2013 à 0,00196 cas en </w:t>
      </w:r>
      <w:r w:rsidRPr="00686658">
        <w:rPr>
          <w:rFonts w:cs="Calibri"/>
          <w:sz w:val="24"/>
          <w:szCs w:val="24"/>
        </w:rPr>
        <w:t>2018</w:t>
      </w:r>
      <w:r w:rsidRPr="00686658">
        <w:rPr>
          <w:rFonts w:cs="Calibri"/>
          <w:b/>
          <w:bCs/>
          <w:sz w:val="24"/>
          <w:szCs w:val="24"/>
        </w:rPr>
        <w:t>.</w:t>
      </w:r>
    </w:p>
    <w:p w:rsidR="007E638F" w:rsidRPr="007E638F" w:rsidRDefault="007E638F" w:rsidP="007E638F">
      <w:pPr>
        <w:ind w:left="360"/>
        <w:jc w:val="both"/>
        <w:rPr>
          <w:rFonts w:cs="Calibri"/>
          <w:sz w:val="6"/>
          <w:szCs w:val="6"/>
        </w:rPr>
      </w:pPr>
    </w:p>
    <w:p w:rsidR="000003BE" w:rsidRPr="009513E3" w:rsidRDefault="000003BE" w:rsidP="00FD0B90">
      <w:pPr>
        <w:jc w:val="both"/>
        <w:rPr>
          <w:rFonts w:cs="Calibri"/>
          <w:sz w:val="24"/>
          <w:szCs w:val="24"/>
        </w:rPr>
      </w:pPr>
      <w:r w:rsidRPr="007E638F">
        <w:rPr>
          <w:rFonts w:cs="Calibri"/>
          <w:b/>
          <w:bCs/>
          <w:sz w:val="24"/>
          <w:szCs w:val="24"/>
          <w:u w:val="single"/>
        </w:rPr>
        <w:t>Objectif 4</w:t>
      </w:r>
      <w:r w:rsidRPr="009513E3">
        <w:rPr>
          <w:rFonts w:cs="Calibri"/>
          <w:b/>
          <w:bCs/>
          <w:sz w:val="24"/>
          <w:szCs w:val="24"/>
        </w:rPr>
        <w:t xml:space="preserve"> : Des économies transformées et création d’emplois</w:t>
      </w:r>
    </w:p>
    <w:p w:rsidR="000003BE" w:rsidRPr="00392F29" w:rsidRDefault="000003BE" w:rsidP="00FD0B90">
      <w:pPr>
        <w:jc w:val="both"/>
        <w:rPr>
          <w:rFonts w:cs="Calibri"/>
          <w:b/>
          <w:bCs/>
          <w:sz w:val="24"/>
          <w:szCs w:val="24"/>
          <w:u w:val="single"/>
        </w:rPr>
      </w:pPr>
      <w:r w:rsidRPr="00392F29">
        <w:rPr>
          <w:rFonts w:cs="Calibri"/>
          <w:b/>
          <w:bCs/>
          <w:sz w:val="24"/>
          <w:szCs w:val="24"/>
          <w:u w:val="single"/>
        </w:rPr>
        <w:t>Croissance économique durable et inclusive</w:t>
      </w:r>
    </w:p>
    <w:p w:rsidR="000003BE" w:rsidRPr="008E0A90" w:rsidRDefault="000003BE" w:rsidP="00FD0B90">
      <w:pPr>
        <w:jc w:val="both"/>
        <w:rPr>
          <w:rFonts w:cs="Calibri"/>
          <w:sz w:val="24"/>
          <w:szCs w:val="24"/>
        </w:rPr>
      </w:pPr>
      <w:r w:rsidRPr="008E0A90">
        <w:rPr>
          <w:rFonts w:cs="Calibri"/>
          <w:sz w:val="24"/>
          <w:szCs w:val="24"/>
        </w:rPr>
        <w:t xml:space="preserve"> Le cadre budgétaire à moyen terme 2020-2022 reposent sur l’impératif retour à la soutenabilité budgétaire à moyen terme, en privilégiant la poursuite des efforts consentis, depuis 2015, pour la maitrise et la préservation des engagements de l’Etat, tout en veillant à maintenir la viabilité de trésorerie sur le court et le moyen terme.</w:t>
      </w:r>
    </w:p>
    <w:p w:rsidR="000003BE" w:rsidRPr="008E0A90" w:rsidRDefault="000003BE" w:rsidP="00FD0B90">
      <w:pPr>
        <w:jc w:val="both"/>
        <w:rPr>
          <w:rFonts w:cs="Calibri"/>
          <w:sz w:val="24"/>
          <w:szCs w:val="24"/>
        </w:rPr>
      </w:pPr>
      <w:r w:rsidRPr="008E0A90">
        <w:rPr>
          <w:rFonts w:cs="Calibri"/>
          <w:sz w:val="24"/>
          <w:szCs w:val="24"/>
        </w:rPr>
        <w:t>Le cadrage macro-économique et budgétaire pour la période 2020-2022 intervient dans une conjoncture qui demeure confrontée à l’important défi d’une gestion optimale des ressources disponibles avec la persistance des tensions liées aux fluctuations des revenus tirés des exportations d’hydrocarbures.</w:t>
      </w:r>
    </w:p>
    <w:p w:rsidR="000003BE" w:rsidRPr="008E0A90" w:rsidRDefault="000003BE" w:rsidP="00FD0B90">
      <w:pPr>
        <w:jc w:val="both"/>
        <w:rPr>
          <w:rFonts w:cs="Calibri"/>
          <w:sz w:val="24"/>
          <w:szCs w:val="24"/>
        </w:rPr>
      </w:pPr>
      <w:r w:rsidRPr="008E0A90">
        <w:rPr>
          <w:rFonts w:cs="Calibri"/>
          <w:sz w:val="24"/>
          <w:szCs w:val="24"/>
        </w:rPr>
        <w:t>Par ailleurs, la loi de finances pour 2020 interviendra dans une période qui sera marquée par la mise en œuvre progressive de la loi n°18-15 du 02 septembre 2018 relative aux lois de finances, traduisant la réforme du dispositif législatif et réglementaire régissant le budget de l’Etat et les finances publiques de manière générale</w:t>
      </w:r>
    </w:p>
    <w:p w:rsidR="000003BE" w:rsidRPr="008E0A90" w:rsidRDefault="000003BE" w:rsidP="00FD0B90">
      <w:pPr>
        <w:jc w:val="both"/>
        <w:rPr>
          <w:rFonts w:cs="Calibri"/>
          <w:sz w:val="24"/>
          <w:szCs w:val="24"/>
        </w:rPr>
      </w:pPr>
      <w:r w:rsidRPr="008E0A90">
        <w:rPr>
          <w:rFonts w:cs="Calibri"/>
          <w:sz w:val="24"/>
          <w:szCs w:val="24"/>
        </w:rPr>
        <w:t>La programmation budgétaire à moyen terme couvrant les prochaines périodes devra :</w:t>
      </w:r>
    </w:p>
    <w:p w:rsidR="000003BE" w:rsidRPr="008E0A90" w:rsidRDefault="000003BE" w:rsidP="002F26E1">
      <w:pPr>
        <w:jc w:val="both"/>
        <w:rPr>
          <w:rFonts w:cs="Calibri"/>
          <w:sz w:val="24"/>
          <w:szCs w:val="24"/>
        </w:rPr>
      </w:pPr>
      <w:r w:rsidRPr="008E0A90">
        <w:rPr>
          <w:rFonts w:cs="Calibri"/>
          <w:sz w:val="24"/>
          <w:szCs w:val="24"/>
        </w:rPr>
        <w:t>•</w:t>
      </w:r>
      <w:r w:rsidR="001D114A" w:rsidRPr="008E0A90">
        <w:rPr>
          <w:rFonts w:cs="Calibri"/>
          <w:sz w:val="24"/>
          <w:szCs w:val="24"/>
        </w:rPr>
        <w:t xml:space="preserve"> </w:t>
      </w:r>
      <w:r w:rsidRPr="008E0A90">
        <w:rPr>
          <w:rFonts w:cs="Calibri"/>
          <w:sz w:val="24"/>
          <w:szCs w:val="24"/>
        </w:rPr>
        <w:t>Accorder la priorité au parachèvement des projets en cours de réalisation dans les délais fixés et aux coûts prévus.</w:t>
      </w:r>
    </w:p>
    <w:p w:rsidR="000003BE" w:rsidRPr="008E0A90" w:rsidRDefault="000003BE" w:rsidP="00FD0B90">
      <w:pPr>
        <w:jc w:val="both"/>
        <w:rPr>
          <w:rFonts w:cs="Calibri"/>
          <w:sz w:val="24"/>
          <w:szCs w:val="24"/>
        </w:rPr>
      </w:pPr>
      <w:r w:rsidRPr="008E0A90">
        <w:rPr>
          <w:rFonts w:cs="Calibri"/>
          <w:sz w:val="24"/>
          <w:szCs w:val="24"/>
        </w:rPr>
        <w:t>•</w:t>
      </w:r>
      <w:r w:rsidR="001D114A" w:rsidRPr="008E0A90">
        <w:rPr>
          <w:rFonts w:cs="Calibri"/>
          <w:sz w:val="24"/>
          <w:szCs w:val="24"/>
        </w:rPr>
        <w:t xml:space="preserve"> </w:t>
      </w:r>
      <w:r w:rsidRPr="008E0A90">
        <w:rPr>
          <w:rFonts w:cs="Calibri"/>
          <w:sz w:val="24"/>
          <w:szCs w:val="24"/>
        </w:rPr>
        <w:t>Programmer le financement de nouveaux projets d’investissement dans le respect des plafonds arrêtés par les pouvoirs publics, en veillant à ne retenir que ceux dont l’opportunité est avérée et qui répondent aux exigences d’efficacité et d’efficience.</w:t>
      </w:r>
    </w:p>
    <w:p w:rsidR="000003BE" w:rsidRPr="008E0A90" w:rsidRDefault="000003BE" w:rsidP="00FD0B90">
      <w:pPr>
        <w:jc w:val="both"/>
        <w:rPr>
          <w:rFonts w:cs="Calibri"/>
          <w:sz w:val="24"/>
          <w:szCs w:val="24"/>
        </w:rPr>
      </w:pPr>
      <w:r w:rsidRPr="008E0A90">
        <w:rPr>
          <w:rFonts w:cs="Calibri"/>
          <w:sz w:val="24"/>
          <w:szCs w:val="24"/>
        </w:rPr>
        <w:t>•</w:t>
      </w:r>
      <w:r w:rsidR="001D114A" w:rsidRPr="008E0A90">
        <w:rPr>
          <w:rFonts w:cs="Calibri"/>
          <w:sz w:val="24"/>
          <w:szCs w:val="24"/>
        </w:rPr>
        <w:t xml:space="preserve"> </w:t>
      </w:r>
      <w:r w:rsidRPr="008E0A90">
        <w:rPr>
          <w:rFonts w:cs="Calibri"/>
          <w:sz w:val="24"/>
          <w:szCs w:val="24"/>
        </w:rPr>
        <w:t>Déterminer le cheminement des crédits de paiement pour le financement des projets en cours de réalisation et des nouveaux programmes proposés pour les années 2020, 2021 et 2022.</w:t>
      </w:r>
    </w:p>
    <w:p w:rsidR="000003BE" w:rsidRPr="008E0A90" w:rsidRDefault="000003BE" w:rsidP="00FD0B90">
      <w:pPr>
        <w:jc w:val="both"/>
        <w:rPr>
          <w:rFonts w:cs="Calibri"/>
          <w:sz w:val="24"/>
          <w:szCs w:val="24"/>
        </w:rPr>
      </w:pPr>
      <w:r w:rsidRPr="008E0A90">
        <w:rPr>
          <w:rFonts w:cs="Calibri"/>
          <w:sz w:val="24"/>
          <w:szCs w:val="24"/>
        </w:rPr>
        <w:lastRenderedPageBreak/>
        <w:t>•</w:t>
      </w:r>
      <w:r w:rsidR="001D114A" w:rsidRPr="008E0A90">
        <w:rPr>
          <w:rFonts w:cs="Calibri"/>
          <w:sz w:val="24"/>
          <w:szCs w:val="24"/>
        </w:rPr>
        <w:t xml:space="preserve"> </w:t>
      </w:r>
      <w:r w:rsidRPr="008E0A90">
        <w:rPr>
          <w:rFonts w:cs="Calibri"/>
          <w:sz w:val="24"/>
          <w:szCs w:val="24"/>
        </w:rPr>
        <w:t>Mobiliser les moyens de réalisation en recourant, en priorité, dans le cadre de la commande publique, aux entreprises nationales et aux produits de fabrication locale.</w:t>
      </w:r>
    </w:p>
    <w:p w:rsidR="000003BE" w:rsidRPr="008E0A90" w:rsidRDefault="000003BE" w:rsidP="001D114A">
      <w:pPr>
        <w:jc w:val="both"/>
        <w:rPr>
          <w:rFonts w:cs="Calibri"/>
          <w:sz w:val="24"/>
          <w:szCs w:val="24"/>
        </w:rPr>
      </w:pPr>
      <w:r w:rsidRPr="008E0A90">
        <w:rPr>
          <w:rFonts w:cs="Calibri"/>
          <w:sz w:val="24"/>
          <w:szCs w:val="24"/>
        </w:rPr>
        <w:t xml:space="preserve">L’Algérie a </w:t>
      </w:r>
      <w:r w:rsidR="001D114A" w:rsidRPr="008E0A90">
        <w:rPr>
          <w:rFonts w:cs="Calibri"/>
          <w:sz w:val="24"/>
          <w:szCs w:val="24"/>
        </w:rPr>
        <w:t xml:space="preserve">réalisé </w:t>
      </w:r>
      <w:r w:rsidRPr="008E0A90">
        <w:rPr>
          <w:rFonts w:cs="Calibri"/>
          <w:sz w:val="24"/>
          <w:szCs w:val="24"/>
        </w:rPr>
        <w:t xml:space="preserve">des investissements considérables dans beaucoup de domaines tels que les infrastructures de liaisons (développement du réseau de transport, des TIC, des réseaux électriques), la construction de logements, l’amélioration des capacités de production d’eau potable, le développement des infrastructures de santé et d’éducation. Ces investissements ont non seulement constitué un vecteur de création d’emplois et de croissance économique mais ont également permis une amélioration significative du bien-être de l’ensemble de la population.  </w:t>
      </w:r>
    </w:p>
    <w:p w:rsidR="000003BE" w:rsidRPr="008E0A90" w:rsidRDefault="000003BE" w:rsidP="00FD0B90">
      <w:pPr>
        <w:jc w:val="both"/>
        <w:rPr>
          <w:rFonts w:cs="Calibri"/>
          <w:sz w:val="24"/>
          <w:szCs w:val="24"/>
        </w:rPr>
      </w:pPr>
      <w:r w:rsidRPr="008E0A90">
        <w:rPr>
          <w:rFonts w:cs="Calibri"/>
          <w:sz w:val="24"/>
          <w:szCs w:val="24"/>
        </w:rPr>
        <w:t>L’économie reste, en effet</w:t>
      </w:r>
      <w:r w:rsidR="00917DEC">
        <w:rPr>
          <w:rFonts w:cs="Calibri"/>
          <w:sz w:val="24"/>
          <w:szCs w:val="24"/>
        </w:rPr>
        <w:t>,</w:t>
      </w:r>
      <w:r w:rsidRPr="008E0A90">
        <w:rPr>
          <w:rFonts w:cs="Calibri"/>
          <w:sz w:val="24"/>
          <w:szCs w:val="24"/>
        </w:rPr>
        <w:t xml:space="preserve"> fortement</w:t>
      </w:r>
      <w:r w:rsidR="00917DEC">
        <w:rPr>
          <w:rFonts w:cs="Calibri"/>
          <w:sz w:val="24"/>
          <w:szCs w:val="24"/>
        </w:rPr>
        <w:t xml:space="preserve"> </w:t>
      </w:r>
      <w:r w:rsidRPr="008E0A90">
        <w:rPr>
          <w:rFonts w:cs="Calibri"/>
          <w:sz w:val="24"/>
          <w:szCs w:val="24"/>
        </w:rPr>
        <w:t>concentrée sur les hydrocarbures et la croissance économique tributaire de l’évolution de l’activité dans ce se</w:t>
      </w:r>
      <w:r w:rsidR="001D114A" w:rsidRPr="008E0A90">
        <w:rPr>
          <w:rFonts w:cs="Calibri"/>
          <w:sz w:val="24"/>
          <w:szCs w:val="24"/>
        </w:rPr>
        <w:t>cteur. Ce dernier représente 22,</w:t>
      </w:r>
      <w:r w:rsidRPr="008E0A90">
        <w:rPr>
          <w:rFonts w:cs="Calibri"/>
          <w:sz w:val="24"/>
          <w:szCs w:val="24"/>
        </w:rPr>
        <w:t>4% du PIB, 38% des recettes budgétaires de l’Etat et 95% des exportations en 2018.</w:t>
      </w:r>
    </w:p>
    <w:p w:rsidR="000003BE" w:rsidRPr="008E0A90" w:rsidRDefault="000003BE" w:rsidP="001D114A">
      <w:pPr>
        <w:jc w:val="both"/>
        <w:rPr>
          <w:rFonts w:cs="Calibri"/>
          <w:sz w:val="24"/>
          <w:szCs w:val="24"/>
        </w:rPr>
      </w:pPr>
      <w:r w:rsidRPr="008E0A90">
        <w:rPr>
          <w:rFonts w:cs="Calibri"/>
          <w:sz w:val="24"/>
          <w:szCs w:val="24"/>
        </w:rPr>
        <w:t>La croissance du PIB s’est établie, en moyenne sur la période 2013-2019</w:t>
      </w:r>
      <w:r w:rsidR="001D114A" w:rsidRPr="008E0A90">
        <w:rPr>
          <w:rFonts w:cs="Calibri"/>
          <w:sz w:val="24"/>
          <w:szCs w:val="24"/>
        </w:rPr>
        <w:t xml:space="preserve"> </w:t>
      </w:r>
      <w:r w:rsidRPr="008E0A90">
        <w:rPr>
          <w:rFonts w:cs="Calibri"/>
          <w:sz w:val="24"/>
          <w:szCs w:val="24"/>
        </w:rPr>
        <w:t>(9 premier mois)</w:t>
      </w:r>
      <w:r w:rsidR="001D114A" w:rsidRPr="008E0A90">
        <w:rPr>
          <w:rFonts w:cs="Calibri"/>
          <w:sz w:val="24"/>
          <w:szCs w:val="24"/>
        </w:rPr>
        <w:t xml:space="preserve"> 2019</w:t>
      </w:r>
      <w:r w:rsidRPr="008E0A90">
        <w:rPr>
          <w:rFonts w:cs="Calibri"/>
          <w:sz w:val="24"/>
          <w:szCs w:val="24"/>
        </w:rPr>
        <w:t xml:space="preserve"> à 2</w:t>
      </w:r>
      <w:r w:rsidR="001D114A" w:rsidRPr="008E0A90">
        <w:rPr>
          <w:rFonts w:cs="Calibri"/>
          <w:sz w:val="24"/>
          <w:szCs w:val="24"/>
        </w:rPr>
        <w:t>,</w:t>
      </w:r>
      <w:r w:rsidRPr="008E0A90">
        <w:rPr>
          <w:rFonts w:cs="Calibri"/>
          <w:sz w:val="24"/>
          <w:szCs w:val="24"/>
        </w:rPr>
        <w:t>4% par an. Hors hydrocarbures, cette croissance a été de 4</w:t>
      </w:r>
      <w:r w:rsidR="001D114A" w:rsidRPr="008E0A90">
        <w:rPr>
          <w:rFonts w:cs="Calibri"/>
          <w:sz w:val="24"/>
          <w:szCs w:val="24"/>
        </w:rPr>
        <w:t>,</w:t>
      </w:r>
      <w:r w:rsidRPr="008E0A90">
        <w:rPr>
          <w:rFonts w:cs="Calibri"/>
          <w:sz w:val="24"/>
          <w:szCs w:val="24"/>
        </w:rPr>
        <w:t xml:space="preserve">0% en moyenne annuelle. </w:t>
      </w:r>
    </w:p>
    <w:p w:rsidR="000003BE" w:rsidRPr="00AF1562" w:rsidRDefault="000003BE" w:rsidP="00FD0B90">
      <w:pPr>
        <w:jc w:val="both"/>
        <w:rPr>
          <w:rFonts w:cs="Calibri"/>
          <w:b/>
          <w:bCs/>
          <w:sz w:val="24"/>
          <w:szCs w:val="24"/>
          <w:u w:val="single"/>
        </w:rPr>
      </w:pPr>
      <w:r w:rsidRPr="00AF1562">
        <w:rPr>
          <w:rFonts w:cs="Calibri"/>
          <w:b/>
          <w:bCs/>
          <w:sz w:val="24"/>
          <w:szCs w:val="24"/>
          <w:u w:val="single"/>
        </w:rPr>
        <w:t>Fabrication Industriel et création de valeur ajoutée grâce à la STI</w:t>
      </w:r>
    </w:p>
    <w:p w:rsidR="000003BE" w:rsidRPr="008E0A90" w:rsidRDefault="000003BE" w:rsidP="00FD0B90">
      <w:pPr>
        <w:jc w:val="both"/>
        <w:rPr>
          <w:rFonts w:cs="Calibri"/>
          <w:sz w:val="24"/>
          <w:szCs w:val="24"/>
        </w:rPr>
      </w:pPr>
      <w:r w:rsidRPr="008E0A90">
        <w:rPr>
          <w:rFonts w:cs="Calibri"/>
          <w:sz w:val="24"/>
          <w:szCs w:val="24"/>
        </w:rPr>
        <w:t>Le Gouvernement s’attache également à favoriser l’amélioration du contenu en technologie de la production nationale en encourageant la recherche publique et en initiant l’activité d’innovation. A cet égard, différents dispositifs d’appui sont mis en place pour encourager le transfert, la maîtrise et la diffusion technologique. Ainsi, les équipements liés à la recherche-développement acquis sur le marché local ou importés, lors de la création, par ces entreprises, d’un département recherche/développement</w:t>
      </w:r>
      <w:r w:rsidR="00917DEC">
        <w:rPr>
          <w:rFonts w:cs="Calibri"/>
          <w:sz w:val="24"/>
          <w:szCs w:val="24"/>
        </w:rPr>
        <w:t>,</w:t>
      </w:r>
      <w:r w:rsidRPr="008E0A90">
        <w:rPr>
          <w:rFonts w:cs="Calibri"/>
          <w:sz w:val="24"/>
          <w:szCs w:val="24"/>
        </w:rPr>
        <w:t xml:space="preserve"> sont exonérés de tout droit de douanes ou taxe d’effet équivalent et de toute autre imposition et de la franchise de TVA.</w:t>
      </w:r>
    </w:p>
    <w:p w:rsidR="000003BE" w:rsidRPr="008E0A90" w:rsidRDefault="000003BE" w:rsidP="00FD0B90">
      <w:pPr>
        <w:jc w:val="both"/>
        <w:rPr>
          <w:rFonts w:cs="Calibri"/>
          <w:sz w:val="24"/>
          <w:szCs w:val="24"/>
        </w:rPr>
      </w:pPr>
      <w:r w:rsidRPr="008E0A90">
        <w:rPr>
          <w:rFonts w:cs="Calibri"/>
          <w:sz w:val="24"/>
          <w:szCs w:val="24"/>
        </w:rPr>
        <w:t>La promotion de l’initiative privée est un vecteur essentiel de croissance. C’est pourquoi, l’amélioration de l’environnement des entreprises et la facilité d’accès des PME aux facteurs de production, particulièrement au foncier industriel et au système financier, ont constitué une préoccupation centrale du Gouvernement. Celui-ci a décidé, dans ce contexte, d’une série de mesures parmi lesquelles</w:t>
      </w:r>
    </w:p>
    <w:p w:rsidR="000003BE" w:rsidRPr="008E0A90" w:rsidRDefault="000003BE" w:rsidP="00FD0B90">
      <w:pPr>
        <w:jc w:val="both"/>
        <w:rPr>
          <w:rFonts w:cs="Calibri"/>
          <w:sz w:val="24"/>
          <w:szCs w:val="24"/>
        </w:rPr>
      </w:pPr>
      <w:r w:rsidRPr="008E0A90">
        <w:rPr>
          <w:rFonts w:cs="Calibri"/>
          <w:sz w:val="24"/>
          <w:szCs w:val="24"/>
        </w:rPr>
        <w:t>• l’aménagement de 50 nouveaux parcs industriels répartis sur tout le territoire national et la poursuite de la réhabilitation des zones industrielles ;</w:t>
      </w:r>
    </w:p>
    <w:p w:rsidR="000003BE" w:rsidRPr="008E0A90" w:rsidRDefault="000003BE" w:rsidP="00FD0B90">
      <w:pPr>
        <w:jc w:val="both"/>
        <w:rPr>
          <w:rFonts w:cs="Calibri"/>
          <w:sz w:val="24"/>
          <w:szCs w:val="24"/>
        </w:rPr>
      </w:pPr>
      <w:r w:rsidRPr="008E0A90">
        <w:rPr>
          <w:rFonts w:cs="Calibri"/>
          <w:sz w:val="24"/>
          <w:szCs w:val="24"/>
        </w:rPr>
        <w:t>• la création d’un Fonds national d’investissement doté de l’équivalent de 2 milliards de dollars et en mesure de mobiliser plus de 20 milliards de dollars de crédit ainsi que la création, au niveau de chacune des 48 wilayas du pays, de Fonds d’investissement de wilaya pouvant intervenir comme capital risque ;</w:t>
      </w:r>
    </w:p>
    <w:p w:rsidR="000003BE" w:rsidRPr="008E0A90" w:rsidRDefault="000003BE" w:rsidP="00FD0B90">
      <w:pPr>
        <w:jc w:val="both"/>
        <w:rPr>
          <w:rFonts w:cs="Calibri"/>
          <w:sz w:val="24"/>
          <w:szCs w:val="24"/>
        </w:rPr>
      </w:pPr>
      <w:r w:rsidRPr="008E0A90">
        <w:rPr>
          <w:rFonts w:cs="Calibri"/>
          <w:sz w:val="24"/>
          <w:szCs w:val="24"/>
        </w:rPr>
        <w:t>•la création par les banques publiques commerciales de filiales spécialisées dans l’investissement (sociétés de capital investissement et de leasing) ;</w:t>
      </w:r>
    </w:p>
    <w:p w:rsidR="000003BE" w:rsidRPr="008E0A90" w:rsidRDefault="000003BE" w:rsidP="00FD0B90">
      <w:pPr>
        <w:jc w:val="both"/>
        <w:rPr>
          <w:rFonts w:cs="Calibri"/>
          <w:sz w:val="24"/>
          <w:szCs w:val="24"/>
        </w:rPr>
      </w:pPr>
      <w:r w:rsidRPr="008E0A90">
        <w:rPr>
          <w:rFonts w:cs="Calibri"/>
          <w:sz w:val="24"/>
          <w:szCs w:val="24"/>
        </w:rPr>
        <w:t>• la garantie des crédits octroyés aux entreprises par le Fonds de garantie des crédits aux PME et par la Caisse de garantie des crédits d’investissements pour les PME.</w:t>
      </w:r>
    </w:p>
    <w:p w:rsidR="000003BE" w:rsidRPr="008E0A90" w:rsidRDefault="000003BE" w:rsidP="00FD0B90">
      <w:pPr>
        <w:jc w:val="both"/>
        <w:rPr>
          <w:rFonts w:cs="Calibri"/>
          <w:sz w:val="24"/>
          <w:szCs w:val="24"/>
        </w:rPr>
      </w:pPr>
      <w:r w:rsidRPr="008E0A90">
        <w:rPr>
          <w:rFonts w:cs="Calibri"/>
          <w:sz w:val="24"/>
          <w:szCs w:val="24"/>
        </w:rPr>
        <w:lastRenderedPageBreak/>
        <w:t>Le Gouvernement veille également à l’élargissement des débouchés des PME. La loi d’orientation sur le développement de la PME prévoit, au titre de la passation des marchés publics, de soumettre une proportion de ces marchés à une concurrence inter PME. Dans ce cadre, le Code des marchés publics réserve 20% des prestations au profit des micro</w:t>
      </w:r>
      <w:r w:rsidR="00917DEC">
        <w:rPr>
          <w:rFonts w:cs="Calibri"/>
          <w:sz w:val="24"/>
          <w:szCs w:val="24"/>
        </w:rPr>
        <w:t>-</w:t>
      </w:r>
      <w:r w:rsidRPr="008E0A90">
        <w:rPr>
          <w:rFonts w:cs="Calibri"/>
          <w:sz w:val="24"/>
          <w:szCs w:val="24"/>
        </w:rPr>
        <w:t>entreprises lorsque ces dernières sont en mesure de satisfaire les besoins des services contractants. A la fin 2018, plus de 11.100 marchés ont été octroyés aux micro</w:t>
      </w:r>
      <w:r w:rsidR="00917DEC">
        <w:rPr>
          <w:rFonts w:cs="Calibri"/>
          <w:sz w:val="24"/>
          <w:szCs w:val="24"/>
        </w:rPr>
        <w:t>-</w:t>
      </w:r>
      <w:r w:rsidRPr="008E0A90">
        <w:rPr>
          <w:rFonts w:cs="Calibri"/>
          <w:sz w:val="24"/>
          <w:szCs w:val="24"/>
        </w:rPr>
        <w:t>entreprises pour un montant de plus de 33,46 milliards DA.</w:t>
      </w:r>
    </w:p>
    <w:p w:rsidR="000003BE" w:rsidRPr="008E0A90" w:rsidRDefault="000003BE" w:rsidP="001D114A">
      <w:pPr>
        <w:jc w:val="both"/>
        <w:rPr>
          <w:rFonts w:cs="Calibri"/>
          <w:sz w:val="24"/>
          <w:szCs w:val="24"/>
        </w:rPr>
      </w:pPr>
      <w:r w:rsidRPr="008E0A90">
        <w:rPr>
          <w:rFonts w:cs="Calibri"/>
          <w:sz w:val="24"/>
          <w:szCs w:val="24"/>
        </w:rPr>
        <w:t>Cet appui au développement de la PME s’accompagne d’un renforcement du réseau d’agences bancaires dans le cadre d’un approfondissement du système financier. Des avancées ont également été enregistrées en matière de densification du réseau postal. Ainsi, le nombre de compte CCP au niveau du réseau postal est passé de 17</w:t>
      </w:r>
      <w:r w:rsidR="001D114A" w:rsidRPr="008E0A90">
        <w:rPr>
          <w:rFonts w:cs="Calibri"/>
          <w:sz w:val="24"/>
          <w:szCs w:val="24"/>
        </w:rPr>
        <w:t>,</w:t>
      </w:r>
      <w:r w:rsidRPr="008E0A90">
        <w:rPr>
          <w:rFonts w:cs="Calibri"/>
          <w:sz w:val="24"/>
          <w:szCs w:val="24"/>
        </w:rPr>
        <w:t>1 millions en 2013 à 21</w:t>
      </w:r>
      <w:r w:rsidR="001D114A" w:rsidRPr="008E0A90">
        <w:rPr>
          <w:rFonts w:cs="Calibri"/>
          <w:sz w:val="24"/>
          <w:szCs w:val="24"/>
        </w:rPr>
        <w:t>,</w:t>
      </w:r>
      <w:r w:rsidRPr="008E0A90">
        <w:rPr>
          <w:rFonts w:cs="Calibri"/>
          <w:sz w:val="24"/>
          <w:szCs w:val="24"/>
        </w:rPr>
        <w:t xml:space="preserve">4 millions en </w:t>
      </w:r>
      <w:r w:rsidRPr="00122C86">
        <w:rPr>
          <w:rFonts w:cs="Calibri"/>
          <w:sz w:val="24"/>
          <w:szCs w:val="24"/>
        </w:rPr>
        <w:t xml:space="preserve">2018. </w:t>
      </w:r>
      <w:r w:rsidR="00917DEC" w:rsidRPr="00122C86">
        <w:rPr>
          <w:rFonts w:cs="Calibri"/>
          <w:sz w:val="24"/>
          <w:szCs w:val="24"/>
        </w:rPr>
        <w:t xml:space="preserve">On a également assisté à </w:t>
      </w:r>
      <w:r w:rsidRPr="00122C86">
        <w:rPr>
          <w:rFonts w:cs="Calibri"/>
          <w:sz w:val="24"/>
          <w:szCs w:val="24"/>
        </w:rPr>
        <w:t>une</w:t>
      </w:r>
      <w:r w:rsidRPr="008E0A90">
        <w:rPr>
          <w:rFonts w:cs="Calibri"/>
          <w:sz w:val="24"/>
          <w:szCs w:val="24"/>
        </w:rPr>
        <w:t xml:space="preserve"> généralisation progressive des moyens de paiement modernes avec la mise en place de plus de 1</w:t>
      </w:r>
      <w:r w:rsidR="001D114A" w:rsidRPr="008E0A90">
        <w:rPr>
          <w:rFonts w:cs="Calibri"/>
          <w:sz w:val="24"/>
          <w:szCs w:val="24"/>
        </w:rPr>
        <w:t>.</w:t>
      </w:r>
      <w:r w:rsidRPr="008E0A90">
        <w:rPr>
          <w:rFonts w:cs="Calibri"/>
          <w:sz w:val="24"/>
          <w:szCs w:val="24"/>
        </w:rPr>
        <w:t>400 guichets automatiques bancaires (GAB) en 2018 contre seulement 694 GAB en 2013.</w:t>
      </w:r>
    </w:p>
    <w:p w:rsidR="000003BE" w:rsidRPr="008E0A90" w:rsidRDefault="000003BE" w:rsidP="00AF1C1E">
      <w:pPr>
        <w:jc w:val="both"/>
        <w:rPr>
          <w:rFonts w:cs="Calibri"/>
          <w:sz w:val="24"/>
          <w:szCs w:val="24"/>
        </w:rPr>
      </w:pPr>
      <w:r w:rsidRPr="008E0A90">
        <w:rPr>
          <w:rFonts w:cs="Calibri"/>
          <w:sz w:val="24"/>
          <w:szCs w:val="24"/>
        </w:rPr>
        <w:t>En harmonie avec l’intensification du rythme de formation et d</w:t>
      </w:r>
      <w:r w:rsidR="00917DEC">
        <w:rPr>
          <w:rFonts w:cs="Calibri"/>
          <w:sz w:val="24"/>
          <w:szCs w:val="24"/>
        </w:rPr>
        <w:t xml:space="preserve">e recherche universitaire, il y </w:t>
      </w:r>
      <w:r w:rsidRPr="008E0A90">
        <w:rPr>
          <w:rFonts w:cs="Calibri"/>
          <w:sz w:val="24"/>
          <w:szCs w:val="24"/>
        </w:rPr>
        <w:t xml:space="preserve">a eu la création, </w:t>
      </w:r>
      <w:r w:rsidR="00AF1C1E" w:rsidRPr="008E0A90">
        <w:rPr>
          <w:rFonts w:cs="Calibri"/>
          <w:sz w:val="24"/>
          <w:szCs w:val="24"/>
        </w:rPr>
        <w:t>sur la période 2011-</w:t>
      </w:r>
      <w:r w:rsidRPr="008E0A90">
        <w:rPr>
          <w:rFonts w:cs="Calibri"/>
          <w:sz w:val="24"/>
          <w:szCs w:val="24"/>
        </w:rPr>
        <w:t>2018, de 523</w:t>
      </w:r>
      <w:r w:rsidR="001D114A" w:rsidRPr="008E0A90">
        <w:rPr>
          <w:rFonts w:cs="Calibri"/>
          <w:sz w:val="24"/>
          <w:szCs w:val="24"/>
        </w:rPr>
        <w:t>.</w:t>
      </w:r>
      <w:r w:rsidRPr="008E0A90">
        <w:rPr>
          <w:rFonts w:cs="Calibri"/>
          <w:sz w:val="24"/>
          <w:szCs w:val="24"/>
        </w:rPr>
        <w:t xml:space="preserve">500 </w:t>
      </w:r>
      <w:r w:rsidR="002F26E1" w:rsidRPr="008E0A90">
        <w:rPr>
          <w:rFonts w:cs="Calibri"/>
          <w:sz w:val="24"/>
          <w:szCs w:val="24"/>
        </w:rPr>
        <w:t>micro</w:t>
      </w:r>
      <w:r w:rsidR="00917DEC">
        <w:rPr>
          <w:rFonts w:cs="Calibri"/>
          <w:sz w:val="24"/>
          <w:szCs w:val="24"/>
        </w:rPr>
        <w:t>-</w:t>
      </w:r>
      <w:r w:rsidR="002F26E1" w:rsidRPr="008E0A90">
        <w:rPr>
          <w:rFonts w:cs="Calibri"/>
          <w:sz w:val="24"/>
          <w:szCs w:val="24"/>
        </w:rPr>
        <w:t>entreprises</w:t>
      </w:r>
      <w:r w:rsidRPr="008E0A90">
        <w:rPr>
          <w:rFonts w:cs="Calibri"/>
          <w:sz w:val="24"/>
          <w:szCs w:val="24"/>
        </w:rPr>
        <w:t xml:space="preserve"> qui ont généré 1</w:t>
      </w:r>
      <w:r w:rsidR="001D114A" w:rsidRPr="008E0A90">
        <w:rPr>
          <w:rFonts w:cs="Calibri"/>
          <w:sz w:val="24"/>
          <w:szCs w:val="24"/>
        </w:rPr>
        <w:t>.</w:t>
      </w:r>
      <w:r w:rsidRPr="008E0A90">
        <w:rPr>
          <w:rFonts w:cs="Calibri"/>
          <w:sz w:val="24"/>
          <w:szCs w:val="24"/>
        </w:rPr>
        <w:t>208</w:t>
      </w:r>
      <w:r w:rsidR="001D114A" w:rsidRPr="008E0A90">
        <w:rPr>
          <w:rFonts w:cs="Calibri"/>
          <w:sz w:val="24"/>
          <w:szCs w:val="24"/>
        </w:rPr>
        <w:t>.</w:t>
      </w:r>
      <w:r w:rsidRPr="008E0A90">
        <w:rPr>
          <w:rFonts w:cs="Calibri"/>
          <w:sz w:val="24"/>
          <w:szCs w:val="24"/>
        </w:rPr>
        <w:t>000 emplois durables et une baisse significative du taux de chômage qui est pass</w:t>
      </w:r>
      <w:r w:rsidR="00917DEC">
        <w:rPr>
          <w:rFonts w:cs="Calibri"/>
          <w:sz w:val="24"/>
          <w:szCs w:val="24"/>
        </w:rPr>
        <w:t>é</w:t>
      </w:r>
      <w:r w:rsidRPr="008E0A90">
        <w:rPr>
          <w:rFonts w:cs="Calibri"/>
          <w:sz w:val="24"/>
          <w:szCs w:val="24"/>
        </w:rPr>
        <w:t xml:space="preserve"> de 30% en 2000 à une moyenne de 10% durant la dernière décennie. Les secteurs de l’agriculture, des TIC et de l’industrie représentent près de 60% du financement global pour l’année 2018. </w:t>
      </w:r>
      <w:bookmarkStart w:id="0" w:name="_GoBack"/>
      <w:bookmarkEnd w:id="0"/>
    </w:p>
    <w:p w:rsidR="00917DEC" w:rsidRDefault="000003BE" w:rsidP="00CA51B4">
      <w:pPr>
        <w:jc w:val="both"/>
        <w:rPr>
          <w:rFonts w:cs="Calibri"/>
          <w:sz w:val="24"/>
          <w:szCs w:val="24"/>
        </w:rPr>
      </w:pPr>
      <w:r w:rsidRPr="008E0A90">
        <w:rPr>
          <w:rFonts w:cs="Calibri"/>
          <w:sz w:val="24"/>
          <w:szCs w:val="24"/>
        </w:rPr>
        <w:t>Tous ces efforts consentis par l’Etat visent l’amélioration et l’augmentation de la V</w:t>
      </w:r>
      <w:r w:rsidR="001D114A" w:rsidRPr="008E0A90">
        <w:rPr>
          <w:rFonts w:cs="Calibri"/>
          <w:sz w:val="24"/>
          <w:szCs w:val="24"/>
        </w:rPr>
        <w:t xml:space="preserve">aleur </w:t>
      </w:r>
      <w:r w:rsidRPr="008E0A90">
        <w:rPr>
          <w:rFonts w:cs="Calibri"/>
          <w:sz w:val="24"/>
          <w:szCs w:val="24"/>
        </w:rPr>
        <w:t>A</w:t>
      </w:r>
      <w:r w:rsidR="001D114A" w:rsidRPr="008E0A90">
        <w:rPr>
          <w:rFonts w:cs="Calibri"/>
          <w:sz w:val="24"/>
          <w:szCs w:val="24"/>
        </w:rPr>
        <w:t>joutée</w:t>
      </w:r>
      <w:r w:rsidRPr="008E0A90">
        <w:rPr>
          <w:rFonts w:cs="Calibri"/>
          <w:sz w:val="24"/>
          <w:szCs w:val="24"/>
        </w:rPr>
        <w:t xml:space="preserve"> des industries manufacturières. Ainsi, les secteurs de l’industrie manufacturière, l’industrie diverses, le bois et liège, le cuire et chaussures ont réalisé des performances de croissance notable passant, respectivement, de -7</w:t>
      </w:r>
      <w:r w:rsidR="001D114A" w:rsidRPr="008E0A90">
        <w:rPr>
          <w:rFonts w:cs="Calibri"/>
          <w:sz w:val="24"/>
          <w:szCs w:val="24"/>
        </w:rPr>
        <w:t>,</w:t>
      </w:r>
      <w:r w:rsidRPr="008E0A90">
        <w:rPr>
          <w:rFonts w:cs="Calibri"/>
          <w:sz w:val="24"/>
          <w:szCs w:val="24"/>
        </w:rPr>
        <w:t>8%</w:t>
      </w:r>
      <w:r w:rsidR="001D114A" w:rsidRPr="008E0A90">
        <w:rPr>
          <w:rFonts w:cs="Calibri"/>
          <w:sz w:val="24"/>
          <w:szCs w:val="24"/>
        </w:rPr>
        <w:t>;</w:t>
      </w:r>
      <w:r w:rsidRPr="008E0A90">
        <w:rPr>
          <w:rFonts w:cs="Calibri"/>
          <w:sz w:val="24"/>
          <w:szCs w:val="24"/>
        </w:rPr>
        <w:t xml:space="preserve"> 3</w:t>
      </w:r>
      <w:r w:rsidR="001D114A" w:rsidRPr="008E0A90">
        <w:rPr>
          <w:rFonts w:cs="Calibri"/>
          <w:sz w:val="24"/>
          <w:szCs w:val="24"/>
        </w:rPr>
        <w:t>,</w:t>
      </w:r>
      <w:r w:rsidRPr="008E0A90">
        <w:rPr>
          <w:rFonts w:cs="Calibri"/>
          <w:sz w:val="24"/>
          <w:szCs w:val="24"/>
        </w:rPr>
        <w:t>6% et -0</w:t>
      </w:r>
      <w:r w:rsidR="001D114A" w:rsidRPr="008E0A90">
        <w:rPr>
          <w:rFonts w:cs="Calibri"/>
          <w:sz w:val="24"/>
          <w:szCs w:val="24"/>
        </w:rPr>
        <w:t>,</w:t>
      </w:r>
      <w:r w:rsidRPr="008E0A90">
        <w:rPr>
          <w:rFonts w:cs="Calibri"/>
          <w:sz w:val="24"/>
          <w:szCs w:val="24"/>
        </w:rPr>
        <w:t>5% en 2013 à 2</w:t>
      </w:r>
      <w:r w:rsidR="001D114A" w:rsidRPr="008E0A90">
        <w:rPr>
          <w:rFonts w:cs="Calibri"/>
          <w:sz w:val="24"/>
          <w:szCs w:val="24"/>
        </w:rPr>
        <w:t>,</w:t>
      </w:r>
      <w:r w:rsidRPr="008E0A90">
        <w:rPr>
          <w:rFonts w:cs="Calibri"/>
          <w:sz w:val="24"/>
          <w:szCs w:val="24"/>
        </w:rPr>
        <w:t>8%</w:t>
      </w:r>
      <w:r w:rsidR="001D114A" w:rsidRPr="008E0A90">
        <w:rPr>
          <w:rFonts w:cs="Calibri"/>
          <w:sz w:val="24"/>
          <w:szCs w:val="24"/>
        </w:rPr>
        <w:t xml:space="preserve"> ; </w:t>
      </w:r>
      <w:r w:rsidRPr="008E0A90">
        <w:rPr>
          <w:rFonts w:cs="Calibri"/>
          <w:sz w:val="24"/>
          <w:szCs w:val="24"/>
        </w:rPr>
        <w:t>6</w:t>
      </w:r>
      <w:r w:rsidR="001D114A" w:rsidRPr="008E0A90">
        <w:rPr>
          <w:rFonts w:cs="Calibri"/>
          <w:sz w:val="24"/>
          <w:szCs w:val="24"/>
        </w:rPr>
        <w:t>,</w:t>
      </w:r>
      <w:r w:rsidRPr="008E0A90">
        <w:rPr>
          <w:rFonts w:cs="Calibri"/>
          <w:sz w:val="24"/>
          <w:szCs w:val="24"/>
        </w:rPr>
        <w:t>5% et 5</w:t>
      </w:r>
      <w:r w:rsidR="001D114A" w:rsidRPr="008E0A90">
        <w:rPr>
          <w:rFonts w:cs="Calibri"/>
          <w:sz w:val="24"/>
          <w:szCs w:val="24"/>
        </w:rPr>
        <w:t>,</w:t>
      </w:r>
      <w:r w:rsidRPr="008E0A90">
        <w:rPr>
          <w:rFonts w:cs="Calibri"/>
          <w:sz w:val="24"/>
          <w:szCs w:val="24"/>
        </w:rPr>
        <w:t xml:space="preserve">9% en 2018. </w:t>
      </w:r>
    </w:p>
    <w:p w:rsidR="000003BE" w:rsidRPr="008E0A90" w:rsidRDefault="000003BE" w:rsidP="00CA51B4">
      <w:pPr>
        <w:jc w:val="both"/>
        <w:rPr>
          <w:rFonts w:cs="Calibri"/>
          <w:sz w:val="24"/>
          <w:szCs w:val="24"/>
        </w:rPr>
      </w:pPr>
      <w:r w:rsidRPr="008E0A90">
        <w:rPr>
          <w:rFonts w:cs="Calibri"/>
          <w:sz w:val="24"/>
          <w:szCs w:val="24"/>
        </w:rPr>
        <w:t>Ainsi, la part de la valeur ajoutée de l’industrie manufacturière dans le PIB est passé</w:t>
      </w:r>
      <w:r w:rsidR="001D114A" w:rsidRPr="008E0A90">
        <w:rPr>
          <w:rFonts w:cs="Calibri"/>
          <w:sz w:val="24"/>
          <w:szCs w:val="24"/>
        </w:rPr>
        <w:t>e</w:t>
      </w:r>
      <w:r w:rsidRPr="008E0A90">
        <w:rPr>
          <w:rFonts w:cs="Calibri"/>
          <w:sz w:val="24"/>
          <w:szCs w:val="24"/>
        </w:rPr>
        <w:t xml:space="preserve"> de 4</w:t>
      </w:r>
      <w:r w:rsidR="001D114A" w:rsidRPr="008E0A90">
        <w:rPr>
          <w:rFonts w:cs="Calibri"/>
          <w:sz w:val="24"/>
          <w:szCs w:val="24"/>
        </w:rPr>
        <w:t>,</w:t>
      </w:r>
      <w:r w:rsidRPr="008E0A90">
        <w:rPr>
          <w:rFonts w:cs="Calibri"/>
          <w:sz w:val="24"/>
          <w:szCs w:val="24"/>
        </w:rPr>
        <w:t>2% en 2013 à 4</w:t>
      </w:r>
      <w:r w:rsidR="001D114A" w:rsidRPr="008E0A90">
        <w:rPr>
          <w:rFonts w:cs="Calibri"/>
          <w:sz w:val="24"/>
          <w:szCs w:val="24"/>
        </w:rPr>
        <w:t>,</w:t>
      </w:r>
      <w:r w:rsidRPr="008E0A90">
        <w:rPr>
          <w:rFonts w:cs="Calibri"/>
          <w:sz w:val="24"/>
          <w:szCs w:val="24"/>
        </w:rPr>
        <w:t>8% en 2018. Durant la période 2013-2019</w:t>
      </w:r>
      <w:r w:rsidR="001D114A" w:rsidRPr="008E0A90">
        <w:rPr>
          <w:rFonts w:cs="Calibri"/>
          <w:sz w:val="24"/>
          <w:szCs w:val="24"/>
        </w:rPr>
        <w:t xml:space="preserve"> </w:t>
      </w:r>
      <w:r w:rsidRPr="008E0A90">
        <w:rPr>
          <w:rFonts w:cs="Calibri"/>
          <w:sz w:val="24"/>
          <w:szCs w:val="24"/>
        </w:rPr>
        <w:t>(9 mois) le secteur industriel a soutenu la croissance avec une performance moyenne de 4</w:t>
      </w:r>
      <w:r w:rsidR="00CA51B4" w:rsidRPr="008E0A90">
        <w:rPr>
          <w:rFonts w:cs="Calibri"/>
          <w:sz w:val="24"/>
          <w:szCs w:val="24"/>
        </w:rPr>
        <w:t>,</w:t>
      </w:r>
      <w:r w:rsidRPr="008E0A90">
        <w:rPr>
          <w:rFonts w:cs="Calibri"/>
          <w:sz w:val="24"/>
          <w:szCs w:val="24"/>
        </w:rPr>
        <w:t>3%. Cette politique de stratégie de base a permis aux secteurs manufacturiers et du tourisme d’augmenter leur niveau de performance respectivement à 48% et 117% par rapport aux objectifs escomptés.</w:t>
      </w:r>
    </w:p>
    <w:p w:rsidR="000003BE" w:rsidRPr="00AF1562" w:rsidRDefault="000003BE" w:rsidP="00FD0B90">
      <w:pPr>
        <w:jc w:val="both"/>
        <w:rPr>
          <w:rFonts w:cs="Calibri"/>
          <w:b/>
          <w:bCs/>
          <w:sz w:val="24"/>
          <w:szCs w:val="24"/>
          <w:u w:val="single"/>
        </w:rPr>
      </w:pPr>
      <w:r w:rsidRPr="00AF1562">
        <w:rPr>
          <w:rFonts w:cs="Calibri"/>
          <w:b/>
          <w:bCs/>
          <w:sz w:val="24"/>
          <w:szCs w:val="24"/>
          <w:u w:val="single"/>
        </w:rPr>
        <w:t>Diversification et résilience de l’économie</w:t>
      </w:r>
    </w:p>
    <w:p w:rsidR="000003BE" w:rsidRPr="008E0A90" w:rsidRDefault="000003BE" w:rsidP="00C20B95">
      <w:pPr>
        <w:jc w:val="both"/>
        <w:rPr>
          <w:rFonts w:cs="Calibri"/>
          <w:sz w:val="24"/>
          <w:szCs w:val="24"/>
        </w:rPr>
      </w:pPr>
      <w:r w:rsidRPr="008E0A90">
        <w:rPr>
          <w:rFonts w:cs="Calibri"/>
          <w:sz w:val="24"/>
          <w:szCs w:val="24"/>
        </w:rPr>
        <w:t xml:space="preserve">Une nette progression est constatée dans la part des dépenses de recherche et développement réalisant un niveau de performance de 63% par apport à l’objectif recherché. Un élan obtenu grâce la politique de promotion de la recherche scientifique et le développement scientifique. </w:t>
      </w:r>
    </w:p>
    <w:p w:rsidR="000003BE" w:rsidRDefault="000003BE" w:rsidP="00C20B95">
      <w:pPr>
        <w:jc w:val="both"/>
        <w:rPr>
          <w:rFonts w:cs="Calibri"/>
          <w:sz w:val="24"/>
          <w:szCs w:val="24"/>
        </w:rPr>
      </w:pPr>
      <w:r w:rsidRPr="008E0A90">
        <w:rPr>
          <w:rFonts w:cs="Calibri"/>
          <w:sz w:val="24"/>
          <w:szCs w:val="24"/>
        </w:rPr>
        <w:t>D'une université et deux écoles à Alger en 1962</w:t>
      </w:r>
      <w:r w:rsidR="00C20B95" w:rsidRPr="008E0A90">
        <w:rPr>
          <w:rFonts w:cs="Calibri"/>
          <w:sz w:val="24"/>
          <w:szCs w:val="24"/>
        </w:rPr>
        <w:t>, l</w:t>
      </w:r>
      <w:r w:rsidRPr="008E0A90">
        <w:rPr>
          <w:rFonts w:cs="Calibri"/>
          <w:sz w:val="24"/>
          <w:szCs w:val="24"/>
        </w:rPr>
        <w:t>’Algérie est passée à un réseau universitaire de 106 établissements en 2019 avec respectivement 2.375 étudiants en 1962 et 1.531.920 é</w:t>
      </w:r>
      <w:r w:rsidR="00917DEC">
        <w:rPr>
          <w:rFonts w:cs="Calibri"/>
          <w:sz w:val="24"/>
          <w:szCs w:val="24"/>
        </w:rPr>
        <w:t>tudiants aujourd'hui (2019). Le secteur de l'enseignement supérieur algérien grâce aux  efforts de</w:t>
      </w:r>
      <w:r w:rsidRPr="008E0A90">
        <w:rPr>
          <w:rFonts w:cs="Calibri"/>
          <w:sz w:val="24"/>
          <w:szCs w:val="24"/>
        </w:rPr>
        <w:t xml:space="preserve"> l'Etat a connu au cours de ces dernières an</w:t>
      </w:r>
      <w:r w:rsidR="00917DEC">
        <w:rPr>
          <w:rFonts w:cs="Calibri"/>
          <w:sz w:val="24"/>
          <w:szCs w:val="24"/>
        </w:rPr>
        <w:t xml:space="preserve">nées une pleine expansion aussi bien en terme de développèrent de nouvelles infrastructures, qu'en terme d'augmentation de </w:t>
      </w:r>
      <w:r w:rsidR="00917DEC">
        <w:rPr>
          <w:rFonts w:cs="Calibri"/>
          <w:sz w:val="24"/>
          <w:szCs w:val="24"/>
        </w:rPr>
        <w:lastRenderedPageBreak/>
        <w:t>l'encadrement et des effectifs estudiantins</w:t>
      </w:r>
      <w:r w:rsidRPr="008E0A90">
        <w:rPr>
          <w:rFonts w:cs="Calibri"/>
          <w:sz w:val="24"/>
          <w:szCs w:val="24"/>
        </w:rPr>
        <w:t xml:space="preserve"> </w:t>
      </w:r>
      <w:r w:rsidR="002E18AC" w:rsidRPr="008E0A90">
        <w:rPr>
          <w:rFonts w:cs="Calibri"/>
          <w:sz w:val="24"/>
          <w:szCs w:val="24"/>
        </w:rPr>
        <w:t>à</w:t>
      </w:r>
      <w:r w:rsidR="00917DEC">
        <w:rPr>
          <w:rFonts w:cs="Calibri"/>
          <w:sz w:val="24"/>
          <w:szCs w:val="24"/>
        </w:rPr>
        <w:t xml:space="preserve"> travers une</w:t>
      </w:r>
      <w:r w:rsidRPr="008E0A90">
        <w:rPr>
          <w:rFonts w:cs="Calibri"/>
          <w:sz w:val="24"/>
          <w:szCs w:val="24"/>
        </w:rPr>
        <w:t xml:space="preserve"> stratégi</w:t>
      </w:r>
      <w:r w:rsidR="00917DEC">
        <w:rPr>
          <w:rFonts w:cs="Calibri"/>
          <w:sz w:val="24"/>
          <w:szCs w:val="24"/>
        </w:rPr>
        <w:t>e de développement portée par 04 programmes quinquennaux, qui ont permis</w:t>
      </w:r>
      <w:r w:rsidRPr="008E0A90">
        <w:rPr>
          <w:rFonts w:cs="Calibri"/>
          <w:sz w:val="24"/>
          <w:szCs w:val="24"/>
        </w:rPr>
        <w:t xml:space="preserve"> au secteur de l'enseignement supérieur de bénéficier de moyens considérables et sans précèdent </w:t>
      </w:r>
      <w:r w:rsidR="00917DEC">
        <w:rPr>
          <w:rFonts w:cs="Calibri"/>
          <w:sz w:val="24"/>
          <w:szCs w:val="24"/>
        </w:rPr>
        <w:t>à</w:t>
      </w:r>
      <w:r w:rsidRPr="008E0A90">
        <w:rPr>
          <w:rFonts w:cs="Calibri"/>
          <w:sz w:val="24"/>
          <w:szCs w:val="24"/>
        </w:rPr>
        <w:t xml:space="preserve"> la faveur desquels : </w:t>
      </w:r>
    </w:p>
    <w:p w:rsidR="007E638F" w:rsidRPr="007E638F" w:rsidRDefault="007E638F" w:rsidP="00C20B95">
      <w:pPr>
        <w:jc w:val="both"/>
        <w:rPr>
          <w:rFonts w:cs="Calibri"/>
          <w:sz w:val="2"/>
          <w:szCs w:val="2"/>
        </w:rPr>
      </w:pPr>
    </w:p>
    <w:p w:rsidR="00917DEC" w:rsidRDefault="000003BE" w:rsidP="00917DEC">
      <w:pPr>
        <w:pStyle w:val="ListParagraph"/>
        <w:numPr>
          <w:ilvl w:val="0"/>
          <w:numId w:val="14"/>
        </w:numPr>
        <w:ind w:left="426" w:hanging="284"/>
        <w:jc w:val="both"/>
        <w:rPr>
          <w:rFonts w:cs="Calibri"/>
          <w:sz w:val="24"/>
          <w:szCs w:val="24"/>
        </w:rPr>
      </w:pPr>
      <w:r w:rsidRPr="00917DEC">
        <w:rPr>
          <w:rFonts w:cs="Calibri"/>
          <w:sz w:val="24"/>
          <w:szCs w:val="24"/>
        </w:rPr>
        <w:t>Les effectifs des étudiants ont connu un accroissement très important entre 2013 et 2019, passant de 1</w:t>
      </w:r>
      <w:r w:rsidR="00C20B95" w:rsidRPr="00917DEC">
        <w:rPr>
          <w:rFonts w:cs="Calibri"/>
          <w:sz w:val="24"/>
          <w:szCs w:val="24"/>
        </w:rPr>
        <w:t>.</w:t>
      </w:r>
      <w:r w:rsidRPr="00917DEC">
        <w:rPr>
          <w:rFonts w:cs="Calibri"/>
          <w:sz w:val="24"/>
          <w:szCs w:val="24"/>
        </w:rPr>
        <w:t>190</w:t>
      </w:r>
      <w:r w:rsidR="00C20B95" w:rsidRPr="00917DEC">
        <w:rPr>
          <w:rFonts w:cs="Calibri"/>
          <w:sz w:val="24"/>
          <w:szCs w:val="24"/>
        </w:rPr>
        <w:t>.</w:t>
      </w:r>
      <w:r w:rsidRPr="00917DEC">
        <w:rPr>
          <w:rFonts w:cs="Calibri"/>
          <w:sz w:val="24"/>
          <w:szCs w:val="24"/>
        </w:rPr>
        <w:t>196 étudiants en 2013/2014 dont 59</w:t>
      </w:r>
      <w:r w:rsidR="00C20B95" w:rsidRPr="00917DEC">
        <w:rPr>
          <w:rFonts w:cs="Calibri"/>
          <w:sz w:val="24"/>
          <w:szCs w:val="24"/>
        </w:rPr>
        <w:t>,</w:t>
      </w:r>
      <w:r w:rsidRPr="00917DEC">
        <w:rPr>
          <w:rFonts w:cs="Calibri"/>
          <w:sz w:val="24"/>
          <w:szCs w:val="24"/>
        </w:rPr>
        <w:t>10% de sexe féminin à 1</w:t>
      </w:r>
      <w:r w:rsidR="00C20B95" w:rsidRPr="00917DEC">
        <w:rPr>
          <w:rFonts w:cs="Calibri"/>
          <w:sz w:val="24"/>
          <w:szCs w:val="24"/>
        </w:rPr>
        <w:t>.</w:t>
      </w:r>
      <w:r w:rsidRPr="00917DEC">
        <w:rPr>
          <w:rFonts w:cs="Calibri"/>
          <w:sz w:val="24"/>
          <w:szCs w:val="24"/>
        </w:rPr>
        <w:t>531</w:t>
      </w:r>
      <w:r w:rsidR="00C20B95" w:rsidRPr="00917DEC">
        <w:rPr>
          <w:rFonts w:cs="Calibri"/>
          <w:sz w:val="24"/>
          <w:szCs w:val="24"/>
        </w:rPr>
        <w:t>.</w:t>
      </w:r>
      <w:r w:rsidRPr="00917DEC">
        <w:rPr>
          <w:rFonts w:cs="Calibri"/>
          <w:sz w:val="24"/>
          <w:szCs w:val="24"/>
        </w:rPr>
        <w:t>920 étudiants en 2018/2019 dont 61.91 % de sexe féminin.</w:t>
      </w:r>
    </w:p>
    <w:p w:rsidR="007E638F" w:rsidRPr="007E638F" w:rsidRDefault="007E638F" w:rsidP="007E638F">
      <w:pPr>
        <w:ind w:left="142"/>
        <w:jc w:val="both"/>
        <w:rPr>
          <w:rFonts w:cs="Calibri"/>
          <w:sz w:val="2"/>
          <w:szCs w:val="2"/>
        </w:rPr>
      </w:pPr>
    </w:p>
    <w:p w:rsidR="000003BE" w:rsidRPr="00917DEC" w:rsidRDefault="000003BE" w:rsidP="00917DEC">
      <w:pPr>
        <w:pStyle w:val="ListParagraph"/>
        <w:numPr>
          <w:ilvl w:val="0"/>
          <w:numId w:val="14"/>
        </w:numPr>
        <w:ind w:left="426" w:hanging="284"/>
        <w:jc w:val="both"/>
        <w:rPr>
          <w:rFonts w:cs="Calibri"/>
          <w:sz w:val="24"/>
          <w:szCs w:val="24"/>
        </w:rPr>
      </w:pPr>
      <w:r w:rsidRPr="00917DEC">
        <w:rPr>
          <w:rFonts w:cs="Calibri"/>
          <w:sz w:val="24"/>
          <w:szCs w:val="24"/>
        </w:rPr>
        <w:t xml:space="preserve">Les effectifs des personnels enseignants ont connu également un accroissement considérable entre 2013 et 2019, passant de </w:t>
      </w:r>
      <w:r w:rsidR="00BA03B9" w:rsidRPr="00917DEC">
        <w:rPr>
          <w:rFonts w:cs="Calibri"/>
          <w:sz w:val="24"/>
          <w:szCs w:val="24"/>
        </w:rPr>
        <w:t>51.299 enseignants</w:t>
      </w:r>
      <w:r w:rsidRPr="00917DEC">
        <w:rPr>
          <w:rFonts w:cs="Calibri"/>
          <w:sz w:val="24"/>
          <w:szCs w:val="24"/>
        </w:rPr>
        <w:t xml:space="preserve"> en 2013/2014 </w:t>
      </w:r>
      <w:r w:rsidR="00C20B95" w:rsidRPr="00917DEC">
        <w:rPr>
          <w:rFonts w:cs="Calibri"/>
          <w:sz w:val="24"/>
          <w:szCs w:val="24"/>
        </w:rPr>
        <w:t>à</w:t>
      </w:r>
      <w:r w:rsidRPr="00917DEC">
        <w:rPr>
          <w:rFonts w:cs="Calibri"/>
          <w:sz w:val="24"/>
          <w:szCs w:val="24"/>
        </w:rPr>
        <w:t xml:space="preserve"> 60</w:t>
      </w:r>
      <w:r w:rsidR="00C20B95" w:rsidRPr="00917DEC">
        <w:rPr>
          <w:rFonts w:cs="Calibri"/>
          <w:sz w:val="24"/>
          <w:szCs w:val="24"/>
        </w:rPr>
        <w:t>.</w:t>
      </w:r>
      <w:r w:rsidRPr="00917DEC">
        <w:rPr>
          <w:rFonts w:cs="Calibri"/>
          <w:sz w:val="24"/>
          <w:szCs w:val="24"/>
        </w:rPr>
        <w:t>832 enseignants en 2018/2019 avec un taux d'encadrement d’un (0</w:t>
      </w:r>
      <w:r w:rsidR="007E638F">
        <w:rPr>
          <w:rFonts w:cs="Calibri"/>
          <w:sz w:val="24"/>
          <w:szCs w:val="24"/>
        </w:rPr>
        <w:t>1) enseignant pour 25 étudiants.</w:t>
      </w:r>
    </w:p>
    <w:p w:rsidR="000003BE" w:rsidRPr="008E0A90" w:rsidRDefault="000003BE" w:rsidP="00C20B95">
      <w:pPr>
        <w:jc w:val="both"/>
        <w:rPr>
          <w:rFonts w:cs="Calibri"/>
          <w:sz w:val="24"/>
          <w:szCs w:val="24"/>
        </w:rPr>
      </w:pPr>
      <w:r w:rsidRPr="008E0A90">
        <w:rPr>
          <w:rFonts w:cs="Calibri"/>
          <w:sz w:val="24"/>
          <w:szCs w:val="24"/>
        </w:rPr>
        <w:t xml:space="preserve">Concernant le réseau universitaire </w:t>
      </w:r>
      <w:r w:rsidR="00C20B95" w:rsidRPr="008E0A90">
        <w:rPr>
          <w:rFonts w:cs="Calibri"/>
          <w:sz w:val="24"/>
          <w:szCs w:val="24"/>
        </w:rPr>
        <w:t>a</w:t>
      </w:r>
      <w:r w:rsidRPr="008E0A90">
        <w:rPr>
          <w:rFonts w:cs="Calibri"/>
          <w:sz w:val="24"/>
          <w:szCs w:val="24"/>
        </w:rPr>
        <w:t>lgérien</w:t>
      </w:r>
      <w:r w:rsidR="00C20B95" w:rsidRPr="008E0A90">
        <w:rPr>
          <w:rFonts w:cs="Calibri"/>
          <w:sz w:val="24"/>
          <w:szCs w:val="24"/>
        </w:rPr>
        <w:t xml:space="preserve">, </w:t>
      </w:r>
      <w:r w:rsidRPr="008E0A90">
        <w:rPr>
          <w:rFonts w:cs="Calibri"/>
          <w:sz w:val="24"/>
          <w:szCs w:val="24"/>
        </w:rPr>
        <w:t>il est constitué de 106 établissements universitaires dont (5</w:t>
      </w:r>
      <w:r w:rsidR="00C20B95" w:rsidRPr="008E0A90">
        <w:rPr>
          <w:rFonts w:cs="Calibri"/>
          <w:sz w:val="24"/>
          <w:szCs w:val="24"/>
        </w:rPr>
        <w:t xml:space="preserve">0 </w:t>
      </w:r>
      <w:r w:rsidRPr="008E0A90">
        <w:rPr>
          <w:rFonts w:cs="Calibri"/>
          <w:sz w:val="24"/>
          <w:szCs w:val="24"/>
        </w:rPr>
        <w:t>universités,</w:t>
      </w:r>
      <w:r w:rsidR="00C20B95" w:rsidRPr="008E0A90">
        <w:rPr>
          <w:rFonts w:cs="Calibri"/>
          <w:sz w:val="24"/>
          <w:szCs w:val="24"/>
        </w:rPr>
        <w:t xml:space="preserve"> </w:t>
      </w:r>
      <w:r w:rsidRPr="008E0A90">
        <w:rPr>
          <w:rFonts w:cs="Calibri"/>
          <w:sz w:val="24"/>
          <w:szCs w:val="24"/>
        </w:rPr>
        <w:t>13 centres universitaires et 43 écoles supérieures) en 2018/2019.</w:t>
      </w:r>
    </w:p>
    <w:p w:rsidR="000003BE" w:rsidRPr="008E0A90" w:rsidRDefault="000003BE" w:rsidP="00FD0B90">
      <w:pPr>
        <w:jc w:val="both"/>
        <w:rPr>
          <w:rFonts w:cs="Calibri"/>
          <w:sz w:val="24"/>
          <w:szCs w:val="24"/>
        </w:rPr>
      </w:pPr>
      <w:r w:rsidRPr="008E0A90">
        <w:rPr>
          <w:rFonts w:cs="Calibri"/>
          <w:sz w:val="24"/>
          <w:szCs w:val="24"/>
        </w:rPr>
        <w:t>Ce maillage est conforté par un réseau de 15 facultés en sciences médicales, dont 12 sont reparties de façon pondérée dans toute la région du nord, et 03 dans le sud Algérien accueillant 72.000 étudiants, avec l’ambition d’ouvrir à l’avenir de nouvelles facultés dans la région sud du pays.</w:t>
      </w:r>
    </w:p>
    <w:p w:rsidR="000003BE" w:rsidRPr="008E0A90" w:rsidRDefault="00917DEC" w:rsidP="006134C5">
      <w:pPr>
        <w:jc w:val="both"/>
        <w:rPr>
          <w:rFonts w:cs="Calibri"/>
          <w:sz w:val="24"/>
          <w:szCs w:val="24"/>
        </w:rPr>
      </w:pPr>
      <w:r>
        <w:rPr>
          <w:rFonts w:cs="Calibri"/>
          <w:sz w:val="24"/>
          <w:szCs w:val="24"/>
        </w:rPr>
        <w:t>Quant aux effectifs des post graduant, ils ont connu un</w:t>
      </w:r>
      <w:r w:rsidR="000003BE" w:rsidRPr="008E0A90">
        <w:rPr>
          <w:rFonts w:cs="Calibri"/>
          <w:sz w:val="24"/>
          <w:szCs w:val="24"/>
        </w:rPr>
        <w:t xml:space="preserve"> accroissement appréciable entre 2013 et 2019, passant de 70.696 post graduant inscrits dont 36.430 filles (51,53%) en 2013/2014 </w:t>
      </w:r>
      <w:r w:rsidR="006134C5" w:rsidRPr="008E0A90">
        <w:rPr>
          <w:rFonts w:cs="Calibri"/>
          <w:sz w:val="24"/>
          <w:szCs w:val="24"/>
        </w:rPr>
        <w:t>à</w:t>
      </w:r>
      <w:r w:rsidR="000003BE" w:rsidRPr="008E0A90">
        <w:rPr>
          <w:rFonts w:cs="Calibri"/>
          <w:sz w:val="24"/>
          <w:szCs w:val="24"/>
        </w:rPr>
        <w:t xml:space="preserve"> 80.173 post graduant inscrits dont 43.189 filles (53,87%) en 2018/2019. Le nombre de diplômés de cycle de graduation est passé de 288</w:t>
      </w:r>
      <w:r w:rsidR="006134C5" w:rsidRPr="008E0A90">
        <w:rPr>
          <w:rFonts w:cs="Calibri"/>
          <w:sz w:val="24"/>
          <w:szCs w:val="24"/>
        </w:rPr>
        <w:t>.</w:t>
      </w:r>
      <w:r w:rsidR="000003BE" w:rsidRPr="008E0A90">
        <w:rPr>
          <w:rFonts w:cs="Calibri"/>
          <w:sz w:val="24"/>
          <w:szCs w:val="24"/>
        </w:rPr>
        <w:t>602 en 2013/2014 à 362</w:t>
      </w:r>
      <w:r w:rsidR="006134C5" w:rsidRPr="008E0A90">
        <w:rPr>
          <w:rFonts w:cs="Calibri"/>
          <w:sz w:val="24"/>
          <w:szCs w:val="24"/>
        </w:rPr>
        <w:t>.</w:t>
      </w:r>
      <w:r w:rsidR="000003BE" w:rsidRPr="008E0A90">
        <w:rPr>
          <w:rFonts w:cs="Calibri"/>
          <w:sz w:val="24"/>
          <w:szCs w:val="24"/>
        </w:rPr>
        <w:t>983 avec une moyenne de diplômés de 64% de sexe féminin.</w:t>
      </w:r>
    </w:p>
    <w:p w:rsidR="000003BE" w:rsidRPr="008E0A90" w:rsidRDefault="000003BE" w:rsidP="00122C86">
      <w:pPr>
        <w:jc w:val="both"/>
        <w:rPr>
          <w:rFonts w:cs="Calibri"/>
          <w:sz w:val="24"/>
          <w:szCs w:val="24"/>
        </w:rPr>
      </w:pPr>
      <w:r w:rsidRPr="008E0A90">
        <w:rPr>
          <w:rFonts w:cs="Calibri"/>
          <w:sz w:val="24"/>
          <w:szCs w:val="24"/>
        </w:rPr>
        <w:t>En termes de potentiel scientifique, les entités de recherche comptent plus de 54</w:t>
      </w:r>
      <w:r w:rsidR="006134C5" w:rsidRPr="008E0A90">
        <w:rPr>
          <w:rFonts w:cs="Calibri"/>
          <w:sz w:val="24"/>
          <w:szCs w:val="24"/>
        </w:rPr>
        <w:t>.</w:t>
      </w:r>
      <w:r w:rsidR="00917DEC">
        <w:rPr>
          <w:rFonts w:cs="Calibri"/>
          <w:sz w:val="24"/>
          <w:szCs w:val="24"/>
        </w:rPr>
        <w:t>000   chercheurs dans les établissements d'enseignement et de</w:t>
      </w:r>
      <w:r w:rsidRPr="008E0A90">
        <w:rPr>
          <w:rFonts w:cs="Calibri"/>
          <w:sz w:val="24"/>
          <w:szCs w:val="24"/>
        </w:rPr>
        <w:t xml:space="preserve"> formation supérieurs (laboratoires) et près de 3</w:t>
      </w:r>
      <w:r w:rsidR="006134C5" w:rsidRPr="008E0A90">
        <w:rPr>
          <w:rFonts w:cs="Calibri"/>
          <w:sz w:val="24"/>
          <w:szCs w:val="24"/>
        </w:rPr>
        <w:t>.</w:t>
      </w:r>
      <w:r w:rsidRPr="008E0A90">
        <w:rPr>
          <w:rFonts w:cs="Calibri"/>
          <w:sz w:val="24"/>
          <w:szCs w:val="24"/>
        </w:rPr>
        <w:t xml:space="preserve">000 chercheurs permanents (dans les </w:t>
      </w:r>
      <w:r w:rsidRPr="00122C86">
        <w:rPr>
          <w:rFonts w:cs="Calibri"/>
          <w:sz w:val="24"/>
          <w:szCs w:val="24"/>
        </w:rPr>
        <w:t xml:space="preserve">centres </w:t>
      </w:r>
      <w:r w:rsidR="00122C86" w:rsidRPr="00122C86">
        <w:rPr>
          <w:rFonts w:cs="Calibri"/>
          <w:sz w:val="24"/>
          <w:szCs w:val="24"/>
        </w:rPr>
        <w:t>du Ministère de l’Enseignement supérieur et de la Recherche Scientifique</w:t>
      </w:r>
      <w:r w:rsidRPr="00122C86">
        <w:rPr>
          <w:rFonts w:cs="Calibri"/>
          <w:sz w:val="24"/>
          <w:szCs w:val="24"/>
        </w:rPr>
        <w:t xml:space="preserve"> et hors</w:t>
      </w:r>
      <w:r w:rsidR="00122C86" w:rsidRPr="00122C86">
        <w:rPr>
          <w:rFonts w:cs="Calibri"/>
          <w:sz w:val="24"/>
          <w:szCs w:val="24"/>
        </w:rPr>
        <w:t xml:space="preserve"> de ce Ministère</w:t>
      </w:r>
      <w:r w:rsidRPr="008E0A90">
        <w:rPr>
          <w:rFonts w:cs="Calibri"/>
          <w:sz w:val="24"/>
          <w:szCs w:val="24"/>
        </w:rPr>
        <w:t>).</w:t>
      </w:r>
    </w:p>
    <w:p w:rsidR="000003BE" w:rsidRPr="008E0A90" w:rsidRDefault="000003BE" w:rsidP="006134C5">
      <w:pPr>
        <w:jc w:val="both"/>
        <w:rPr>
          <w:rFonts w:cs="Calibri"/>
          <w:sz w:val="24"/>
          <w:szCs w:val="24"/>
        </w:rPr>
      </w:pPr>
      <w:r w:rsidRPr="008E0A90">
        <w:rPr>
          <w:rFonts w:cs="Calibri"/>
          <w:sz w:val="24"/>
          <w:szCs w:val="24"/>
        </w:rPr>
        <w:t>Sur la base de ces données et pour une population de quelques 43 millions, le nombre de chercheurs par million d'habitants est de 492. II faut noter que ce taux ne se situait qu'</w:t>
      </w:r>
      <w:r w:rsidR="006134C5" w:rsidRPr="008E0A90">
        <w:rPr>
          <w:rFonts w:cs="Calibri"/>
          <w:sz w:val="24"/>
          <w:szCs w:val="24"/>
        </w:rPr>
        <w:t>à</w:t>
      </w:r>
      <w:r w:rsidRPr="008E0A90">
        <w:rPr>
          <w:rFonts w:cs="Calibri"/>
          <w:sz w:val="24"/>
          <w:szCs w:val="24"/>
        </w:rPr>
        <w:t xml:space="preserve"> 105 en 2007.</w:t>
      </w:r>
    </w:p>
    <w:p w:rsidR="000003BE" w:rsidRPr="008E0A90" w:rsidRDefault="000003BE" w:rsidP="006134C5">
      <w:pPr>
        <w:jc w:val="both"/>
        <w:rPr>
          <w:rFonts w:cs="Calibri"/>
          <w:sz w:val="24"/>
          <w:szCs w:val="24"/>
        </w:rPr>
      </w:pPr>
      <w:r w:rsidRPr="008E0A90">
        <w:rPr>
          <w:rFonts w:cs="Calibri"/>
          <w:sz w:val="24"/>
          <w:szCs w:val="24"/>
        </w:rPr>
        <w:t xml:space="preserve">Des efforts sont menés afin d'atteindre la masse critique qui réponde </w:t>
      </w:r>
      <w:r w:rsidR="006134C5" w:rsidRPr="008E0A90">
        <w:rPr>
          <w:rFonts w:cs="Calibri"/>
          <w:sz w:val="24"/>
          <w:szCs w:val="24"/>
        </w:rPr>
        <w:t>à</w:t>
      </w:r>
      <w:r w:rsidRPr="008E0A90">
        <w:rPr>
          <w:rFonts w:cs="Calibri"/>
          <w:sz w:val="24"/>
          <w:szCs w:val="24"/>
        </w:rPr>
        <w:t xml:space="preserve"> la norme universelle de 1080 chercheurs par million d’habitants.</w:t>
      </w:r>
    </w:p>
    <w:p w:rsidR="000003BE" w:rsidRDefault="000003BE" w:rsidP="00122C86">
      <w:pPr>
        <w:jc w:val="both"/>
        <w:rPr>
          <w:rFonts w:cs="Calibri"/>
          <w:sz w:val="24"/>
          <w:szCs w:val="24"/>
        </w:rPr>
      </w:pPr>
      <w:r w:rsidRPr="008E0A90">
        <w:rPr>
          <w:rFonts w:cs="Calibri"/>
          <w:sz w:val="24"/>
          <w:szCs w:val="24"/>
        </w:rPr>
        <w:t xml:space="preserve">En termes d'entités </w:t>
      </w:r>
      <w:r w:rsidR="00BA03B9" w:rsidRPr="008E0A90">
        <w:rPr>
          <w:rFonts w:cs="Calibri"/>
          <w:sz w:val="24"/>
          <w:szCs w:val="24"/>
        </w:rPr>
        <w:t>de recherche</w:t>
      </w:r>
      <w:r w:rsidRPr="008E0A90">
        <w:rPr>
          <w:rFonts w:cs="Calibri"/>
          <w:sz w:val="24"/>
          <w:szCs w:val="24"/>
        </w:rPr>
        <w:t xml:space="preserve">, </w:t>
      </w:r>
      <w:r w:rsidR="006134C5" w:rsidRPr="008E0A90">
        <w:rPr>
          <w:rFonts w:cs="Calibri"/>
          <w:sz w:val="24"/>
          <w:szCs w:val="24"/>
        </w:rPr>
        <w:t>l</w:t>
      </w:r>
      <w:r w:rsidRPr="008E0A90">
        <w:rPr>
          <w:rFonts w:cs="Calibri"/>
          <w:sz w:val="24"/>
          <w:szCs w:val="24"/>
        </w:rPr>
        <w:t>’Algérie est dotée de plus de 1</w:t>
      </w:r>
      <w:r w:rsidR="006134C5" w:rsidRPr="008E0A90">
        <w:rPr>
          <w:rFonts w:cs="Calibri"/>
          <w:sz w:val="24"/>
          <w:szCs w:val="24"/>
        </w:rPr>
        <w:t>.</w:t>
      </w:r>
      <w:r w:rsidRPr="008E0A90">
        <w:rPr>
          <w:rFonts w:cs="Calibri"/>
          <w:sz w:val="24"/>
          <w:szCs w:val="24"/>
        </w:rPr>
        <w:t>529 labor</w:t>
      </w:r>
      <w:r w:rsidR="00131516">
        <w:rPr>
          <w:rFonts w:cs="Calibri"/>
          <w:sz w:val="24"/>
          <w:szCs w:val="24"/>
        </w:rPr>
        <w:t xml:space="preserve">atoires de recherche et pas </w:t>
      </w:r>
      <w:r w:rsidR="00131516" w:rsidRPr="00122C86">
        <w:rPr>
          <w:rFonts w:cs="Calibri"/>
          <w:sz w:val="24"/>
          <w:szCs w:val="24"/>
        </w:rPr>
        <w:t>moin</w:t>
      </w:r>
      <w:r w:rsidRPr="00122C86">
        <w:rPr>
          <w:rFonts w:cs="Calibri"/>
          <w:sz w:val="24"/>
          <w:szCs w:val="24"/>
        </w:rPr>
        <w:t>s d</w:t>
      </w:r>
      <w:r w:rsidRPr="008E0A90">
        <w:rPr>
          <w:rFonts w:cs="Calibri"/>
          <w:sz w:val="24"/>
          <w:szCs w:val="24"/>
        </w:rPr>
        <w:t>e 1</w:t>
      </w:r>
      <w:r w:rsidR="006134C5" w:rsidRPr="008E0A90">
        <w:rPr>
          <w:rFonts w:cs="Calibri"/>
          <w:sz w:val="24"/>
          <w:szCs w:val="24"/>
        </w:rPr>
        <w:t>.</w:t>
      </w:r>
      <w:r w:rsidRPr="008E0A90">
        <w:rPr>
          <w:rFonts w:cs="Calibri"/>
          <w:sz w:val="24"/>
          <w:szCs w:val="24"/>
        </w:rPr>
        <w:t>024 infrastructures de recherche on</w:t>
      </w:r>
      <w:r w:rsidR="00131516">
        <w:rPr>
          <w:rFonts w:cs="Calibri"/>
          <w:sz w:val="24"/>
          <w:szCs w:val="24"/>
        </w:rPr>
        <w:t xml:space="preserve">t été réalisées dont 19 centres de recherche </w:t>
      </w:r>
      <w:r w:rsidR="00122C86" w:rsidRPr="00122C86">
        <w:rPr>
          <w:rFonts w:cs="Calibri"/>
          <w:sz w:val="24"/>
          <w:szCs w:val="24"/>
        </w:rPr>
        <w:t>du Ministère de l’Enseignement supérieur et de la Recherche Scientifique</w:t>
      </w:r>
      <w:r w:rsidR="00131516">
        <w:rPr>
          <w:rFonts w:cs="Calibri"/>
          <w:sz w:val="24"/>
          <w:szCs w:val="24"/>
        </w:rPr>
        <w:t xml:space="preserve"> et 10 hors </w:t>
      </w:r>
      <w:r w:rsidR="00122C86">
        <w:rPr>
          <w:rFonts w:cs="Calibri"/>
          <w:sz w:val="24"/>
          <w:szCs w:val="24"/>
        </w:rPr>
        <w:t>de ce Ministère</w:t>
      </w:r>
      <w:r w:rsidR="00131516">
        <w:rPr>
          <w:rFonts w:cs="Calibri"/>
          <w:sz w:val="24"/>
          <w:szCs w:val="24"/>
        </w:rPr>
        <w:t>, des</w:t>
      </w:r>
      <w:r w:rsidRPr="008E0A90">
        <w:rPr>
          <w:rFonts w:cs="Calibri"/>
          <w:sz w:val="24"/>
          <w:szCs w:val="24"/>
        </w:rPr>
        <w:t xml:space="preserve"> plateformes technologiques, des stations expérimentales et des centres de calcul intensif.</w:t>
      </w:r>
    </w:p>
    <w:p w:rsidR="007E638F" w:rsidRDefault="007E638F" w:rsidP="00122C86">
      <w:pPr>
        <w:jc w:val="both"/>
        <w:rPr>
          <w:rFonts w:cs="Calibri"/>
          <w:sz w:val="24"/>
          <w:szCs w:val="24"/>
        </w:rPr>
      </w:pPr>
    </w:p>
    <w:p w:rsidR="000003BE" w:rsidRPr="008E0A90" w:rsidRDefault="00131516" w:rsidP="00FD0B90">
      <w:pPr>
        <w:jc w:val="both"/>
        <w:rPr>
          <w:rFonts w:cs="Calibri"/>
          <w:sz w:val="24"/>
          <w:szCs w:val="24"/>
        </w:rPr>
      </w:pPr>
      <w:r>
        <w:rPr>
          <w:rFonts w:cs="Calibri"/>
          <w:sz w:val="24"/>
          <w:szCs w:val="24"/>
        </w:rPr>
        <w:lastRenderedPageBreak/>
        <w:t>Quant aux équipements lourds, l’inventaire indique 15 classes</w:t>
      </w:r>
      <w:r w:rsidR="000003BE" w:rsidRPr="008E0A90">
        <w:rPr>
          <w:rFonts w:cs="Calibri"/>
          <w:sz w:val="24"/>
          <w:szCs w:val="24"/>
        </w:rPr>
        <w:t xml:space="preserve"> d'objets répertoriant un tot</w:t>
      </w:r>
      <w:r>
        <w:rPr>
          <w:rFonts w:cs="Calibri"/>
          <w:sz w:val="24"/>
          <w:szCs w:val="24"/>
        </w:rPr>
        <w:t>al de 849 machines et systèmes.</w:t>
      </w:r>
      <w:r w:rsidR="000003BE" w:rsidRPr="008E0A90">
        <w:rPr>
          <w:rFonts w:cs="Calibri"/>
          <w:sz w:val="24"/>
          <w:szCs w:val="24"/>
        </w:rPr>
        <w:t xml:space="preserve"> Pour accompagner les porteurs de projets innovants, douze incubateurs sont en cours d’homologation dans les universités. Les Centres d'innovation et de transfert de technologie (CITI) apportent</w:t>
      </w:r>
    </w:p>
    <w:p w:rsidR="000003BE" w:rsidRPr="008E0A90" w:rsidRDefault="000003BE" w:rsidP="006134C5">
      <w:pPr>
        <w:jc w:val="both"/>
        <w:rPr>
          <w:rFonts w:cs="Calibri"/>
          <w:sz w:val="24"/>
          <w:szCs w:val="24"/>
        </w:rPr>
      </w:pPr>
      <w:r w:rsidRPr="008E0A90">
        <w:rPr>
          <w:rFonts w:cs="Calibri"/>
          <w:sz w:val="24"/>
          <w:szCs w:val="24"/>
        </w:rPr>
        <w:t xml:space="preserve">Les compléments indispensables à cet écosystème qui </w:t>
      </w:r>
      <w:r w:rsidR="00450E9E" w:rsidRPr="008E0A90">
        <w:rPr>
          <w:rFonts w:cs="Calibri"/>
          <w:sz w:val="24"/>
          <w:szCs w:val="24"/>
        </w:rPr>
        <w:t>est renforcé</w:t>
      </w:r>
      <w:r w:rsidR="00131516">
        <w:rPr>
          <w:rFonts w:cs="Calibri"/>
          <w:sz w:val="24"/>
          <w:szCs w:val="24"/>
        </w:rPr>
        <w:t xml:space="preserve"> par 25 Faublas permettant de mettre</w:t>
      </w:r>
      <w:r w:rsidRPr="008E0A90">
        <w:rPr>
          <w:rFonts w:cs="Calibri"/>
          <w:sz w:val="24"/>
          <w:szCs w:val="24"/>
        </w:rPr>
        <w:t xml:space="preserve"> e</w:t>
      </w:r>
      <w:r w:rsidR="00131516">
        <w:rPr>
          <w:rFonts w:cs="Calibri"/>
          <w:sz w:val="24"/>
          <w:szCs w:val="24"/>
        </w:rPr>
        <w:t>n place et de développer la synergie entre la</w:t>
      </w:r>
      <w:r w:rsidRPr="008E0A90">
        <w:rPr>
          <w:rFonts w:cs="Calibri"/>
          <w:sz w:val="24"/>
          <w:szCs w:val="24"/>
        </w:rPr>
        <w:t xml:space="preserve"> Recherche et l'industrie.</w:t>
      </w:r>
    </w:p>
    <w:p w:rsidR="000003BE" w:rsidRPr="009513E3" w:rsidRDefault="000003BE" w:rsidP="00FD0B90">
      <w:pPr>
        <w:jc w:val="both"/>
        <w:rPr>
          <w:rFonts w:cs="Calibri"/>
          <w:b/>
          <w:bCs/>
          <w:sz w:val="24"/>
          <w:szCs w:val="24"/>
          <w:u w:val="single"/>
        </w:rPr>
      </w:pPr>
      <w:r w:rsidRPr="009513E3">
        <w:rPr>
          <w:rFonts w:cs="Calibri"/>
          <w:b/>
          <w:bCs/>
          <w:sz w:val="24"/>
          <w:szCs w:val="24"/>
          <w:u w:val="single"/>
        </w:rPr>
        <w:t>Hospitalité/Tourisme</w:t>
      </w:r>
    </w:p>
    <w:p w:rsidR="000003BE" w:rsidRPr="008E0A90" w:rsidRDefault="000003BE" w:rsidP="00FD0B90">
      <w:pPr>
        <w:jc w:val="both"/>
        <w:rPr>
          <w:rFonts w:cs="Calibri"/>
          <w:sz w:val="24"/>
          <w:szCs w:val="24"/>
        </w:rPr>
      </w:pPr>
      <w:r w:rsidRPr="008E0A90">
        <w:rPr>
          <w:rFonts w:cs="Calibri"/>
          <w:sz w:val="24"/>
          <w:szCs w:val="24"/>
        </w:rPr>
        <w:t>Le secteur du Tour</w:t>
      </w:r>
      <w:r w:rsidR="006134C5" w:rsidRPr="008E0A90">
        <w:rPr>
          <w:rFonts w:cs="Calibri"/>
          <w:sz w:val="24"/>
          <w:szCs w:val="24"/>
        </w:rPr>
        <w:t>isme a contribué à hauteur de 1,</w:t>
      </w:r>
      <w:r w:rsidRPr="008E0A90">
        <w:rPr>
          <w:rFonts w:cs="Calibri"/>
          <w:sz w:val="24"/>
          <w:szCs w:val="24"/>
        </w:rPr>
        <w:t>7% du PIB dans l’écono</w:t>
      </w:r>
      <w:r w:rsidR="006134C5" w:rsidRPr="008E0A90">
        <w:rPr>
          <w:rFonts w:cs="Calibri"/>
          <w:sz w:val="24"/>
          <w:szCs w:val="24"/>
        </w:rPr>
        <w:t>mie nationale en 2018, contre 1,</w:t>
      </w:r>
      <w:r w:rsidRPr="008E0A90">
        <w:rPr>
          <w:rFonts w:cs="Calibri"/>
          <w:sz w:val="24"/>
          <w:szCs w:val="24"/>
        </w:rPr>
        <w:t>11%du PIB en 2013.</w:t>
      </w:r>
    </w:p>
    <w:p w:rsidR="000003BE" w:rsidRPr="00A721FD" w:rsidRDefault="000003BE" w:rsidP="00616712">
      <w:pPr>
        <w:jc w:val="both"/>
        <w:rPr>
          <w:rFonts w:cs="Calibri"/>
          <w:sz w:val="24"/>
          <w:szCs w:val="24"/>
        </w:rPr>
      </w:pPr>
      <w:r w:rsidRPr="00A721FD">
        <w:rPr>
          <w:rFonts w:cs="Calibri"/>
          <w:sz w:val="24"/>
          <w:szCs w:val="24"/>
        </w:rPr>
        <w:t xml:space="preserve">En termes d’emploi, il est estimé à plus de </w:t>
      </w:r>
      <w:r w:rsidR="00616712" w:rsidRPr="00A721FD">
        <w:rPr>
          <w:rFonts w:cs="Calibri"/>
          <w:sz w:val="24"/>
          <w:szCs w:val="24"/>
        </w:rPr>
        <w:t>320.000</w:t>
      </w:r>
      <w:r w:rsidRPr="00A721FD">
        <w:rPr>
          <w:rFonts w:cs="Calibri"/>
          <w:sz w:val="24"/>
          <w:szCs w:val="24"/>
        </w:rPr>
        <w:t xml:space="preserve"> travailleurs en augmentation de 4% par an sur la période 2010-2016. En 2017, près de 764 projets touristiques étaient en cours de réalisation avec un effectif prévu de près de 45</w:t>
      </w:r>
      <w:r w:rsidR="006134C5" w:rsidRPr="00A721FD">
        <w:rPr>
          <w:rFonts w:cs="Calibri"/>
          <w:sz w:val="24"/>
          <w:szCs w:val="24"/>
        </w:rPr>
        <w:t>.</w:t>
      </w:r>
      <w:r w:rsidRPr="00A721FD">
        <w:rPr>
          <w:rFonts w:cs="Calibri"/>
          <w:sz w:val="24"/>
          <w:szCs w:val="24"/>
        </w:rPr>
        <w:t>000 employés</w:t>
      </w:r>
      <w:r w:rsidR="00A721FD" w:rsidRPr="00A721FD">
        <w:rPr>
          <w:rFonts w:cs="Calibri" w:hint="cs"/>
          <w:sz w:val="24"/>
          <w:szCs w:val="24"/>
          <w:rtl/>
        </w:rPr>
        <w:t>.</w:t>
      </w:r>
      <w:r w:rsidRPr="00A721FD">
        <w:rPr>
          <w:rFonts w:cs="Calibri"/>
          <w:sz w:val="24"/>
          <w:szCs w:val="24"/>
        </w:rPr>
        <w:t xml:space="preserve"> </w:t>
      </w:r>
      <w:r w:rsidR="00A721FD" w:rsidRPr="00A721FD">
        <w:rPr>
          <w:rFonts w:cs="Calibri"/>
          <w:sz w:val="24"/>
          <w:szCs w:val="24"/>
        </w:rPr>
        <w:t xml:space="preserve">Quatre-vingt </w:t>
      </w:r>
      <w:r w:rsidRPr="00A721FD">
        <w:rPr>
          <w:rFonts w:cs="Calibri"/>
          <w:sz w:val="24"/>
          <w:szCs w:val="24"/>
        </w:rPr>
        <w:t>80 établissements hôteliers ont été mis en exploitation durant l’année 2018 soit 6</w:t>
      </w:r>
      <w:r w:rsidR="006134C5" w:rsidRPr="00A721FD">
        <w:rPr>
          <w:rFonts w:cs="Calibri"/>
          <w:sz w:val="24"/>
          <w:szCs w:val="24"/>
        </w:rPr>
        <w:t>.</w:t>
      </w:r>
      <w:r w:rsidRPr="00A721FD">
        <w:rPr>
          <w:rFonts w:cs="Calibri"/>
          <w:sz w:val="24"/>
          <w:szCs w:val="24"/>
        </w:rPr>
        <w:t>900 nouveaux lits et la création 1</w:t>
      </w:r>
      <w:r w:rsidR="006134C5" w:rsidRPr="00A721FD">
        <w:rPr>
          <w:rFonts w:cs="Calibri"/>
          <w:sz w:val="24"/>
          <w:szCs w:val="24"/>
        </w:rPr>
        <w:t>.</w:t>
      </w:r>
      <w:r w:rsidRPr="00A721FD">
        <w:rPr>
          <w:rFonts w:cs="Calibri"/>
          <w:sz w:val="24"/>
          <w:szCs w:val="24"/>
        </w:rPr>
        <w:t>100 emplois.</w:t>
      </w:r>
    </w:p>
    <w:p w:rsidR="000003BE" w:rsidRPr="008E0A90" w:rsidRDefault="000003BE" w:rsidP="00616712">
      <w:pPr>
        <w:jc w:val="both"/>
        <w:rPr>
          <w:rFonts w:cs="Calibri"/>
          <w:sz w:val="24"/>
          <w:szCs w:val="24"/>
        </w:rPr>
      </w:pPr>
      <w:r w:rsidRPr="008E0A90">
        <w:rPr>
          <w:rFonts w:cs="Calibri"/>
          <w:sz w:val="24"/>
          <w:szCs w:val="24"/>
        </w:rPr>
        <w:t xml:space="preserve">Ce secteur a également enregistré près de </w:t>
      </w:r>
      <w:r w:rsidR="00616712">
        <w:rPr>
          <w:rFonts w:cs="Calibri"/>
          <w:sz w:val="24"/>
          <w:szCs w:val="24"/>
        </w:rPr>
        <w:t>11.973</w:t>
      </w:r>
      <w:r w:rsidRPr="008E0A90">
        <w:rPr>
          <w:rFonts w:cs="Calibri"/>
          <w:sz w:val="24"/>
          <w:szCs w:val="24"/>
        </w:rPr>
        <w:t xml:space="preserve"> emplois nouveaux dans le domaine de l’hôtellerie et des voyages en 2019.</w:t>
      </w:r>
    </w:p>
    <w:p w:rsidR="000003BE" w:rsidRPr="008E0A90" w:rsidRDefault="000003BE" w:rsidP="00A721FD">
      <w:pPr>
        <w:jc w:val="both"/>
        <w:rPr>
          <w:rFonts w:cs="Calibri"/>
          <w:sz w:val="24"/>
          <w:szCs w:val="24"/>
        </w:rPr>
      </w:pPr>
      <w:r w:rsidRPr="008E0A90">
        <w:rPr>
          <w:rFonts w:cs="Calibri"/>
          <w:sz w:val="24"/>
          <w:szCs w:val="24"/>
        </w:rPr>
        <w:t xml:space="preserve">Concernant l’Artisanat, </w:t>
      </w:r>
      <w:r w:rsidR="00A721FD">
        <w:rPr>
          <w:rFonts w:cs="Calibri"/>
          <w:sz w:val="24"/>
          <w:szCs w:val="24"/>
        </w:rPr>
        <w:t>s</w:t>
      </w:r>
      <w:r w:rsidRPr="008E0A90">
        <w:rPr>
          <w:rFonts w:cs="Calibri"/>
          <w:sz w:val="24"/>
          <w:szCs w:val="24"/>
        </w:rPr>
        <w:t xml:space="preserve">elon les statistiques </w:t>
      </w:r>
      <w:r w:rsidRPr="00122C86">
        <w:rPr>
          <w:rFonts w:cs="Calibri"/>
          <w:sz w:val="24"/>
          <w:szCs w:val="24"/>
        </w:rPr>
        <w:t xml:space="preserve">du </w:t>
      </w:r>
      <w:r w:rsidR="00122C86" w:rsidRPr="00122C86">
        <w:rPr>
          <w:rFonts w:cs="Calibri"/>
          <w:sz w:val="24"/>
          <w:szCs w:val="24"/>
        </w:rPr>
        <w:t>Ministère du Tourisme</w:t>
      </w:r>
      <w:r w:rsidRPr="008E0A90">
        <w:rPr>
          <w:rFonts w:cs="Calibri"/>
          <w:sz w:val="24"/>
          <w:szCs w:val="24"/>
        </w:rPr>
        <w:t xml:space="preserve">, </w:t>
      </w:r>
      <w:r w:rsidR="00A721FD">
        <w:rPr>
          <w:rFonts w:cs="Calibri"/>
          <w:sz w:val="24"/>
          <w:szCs w:val="24"/>
        </w:rPr>
        <w:t>l</w:t>
      </w:r>
      <w:r w:rsidRPr="008E0A90">
        <w:rPr>
          <w:rFonts w:cs="Calibri"/>
          <w:sz w:val="24"/>
          <w:szCs w:val="24"/>
        </w:rPr>
        <w:t>e secteur de l’artisanat recouvre actuellement</w:t>
      </w:r>
      <w:r w:rsidR="00616712">
        <w:rPr>
          <w:rFonts w:cs="Calibri"/>
          <w:sz w:val="24"/>
          <w:szCs w:val="24"/>
        </w:rPr>
        <w:t xml:space="preserve"> 339</w:t>
      </w:r>
      <w:r w:rsidRPr="008E0A90">
        <w:rPr>
          <w:rFonts w:cs="Calibri"/>
          <w:sz w:val="24"/>
          <w:szCs w:val="24"/>
        </w:rPr>
        <w:t xml:space="preserve"> activités génératrices de </w:t>
      </w:r>
      <w:r w:rsidR="00616712">
        <w:rPr>
          <w:rFonts w:cs="Calibri"/>
          <w:sz w:val="24"/>
          <w:szCs w:val="24"/>
        </w:rPr>
        <w:t>980.000</w:t>
      </w:r>
      <w:r w:rsidRPr="008E0A90">
        <w:rPr>
          <w:rFonts w:cs="Calibri"/>
          <w:sz w:val="24"/>
          <w:szCs w:val="24"/>
        </w:rPr>
        <w:t xml:space="preserve"> emplois réels.</w:t>
      </w:r>
    </w:p>
    <w:p w:rsidR="00131516" w:rsidRDefault="000003BE" w:rsidP="006134C5">
      <w:pPr>
        <w:jc w:val="both"/>
        <w:rPr>
          <w:rFonts w:cs="Calibri"/>
          <w:sz w:val="24"/>
          <w:szCs w:val="24"/>
        </w:rPr>
      </w:pPr>
      <w:r w:rsidRPr="008E0A90">
        <w:rPr>
          <w:rFonts w:cs="Calibri"/>
          <w:sz w:val="24"/>
          <w:szCs w:val="24"/>
        </w:rPr>
        <w:t xml:space="preserve"> L'Algérie a obtenu un siège au Bureau exécutif de l'Organisation Mondiale du Tourisme (OMT)</w:t>
      </w:r>
      <w:r w:rsidR="006134C5" w:rsidRPr="008E0A90">
        <w:rPr>
          <w:rFonts w:cs="Calibri"/>
          <w:sz w:val="24"/>
          <w:szCs w:val="24"/>
        </w:rPr>
        <w:t xml:space="preserve"> </w:t>
      </w:r>
      <w:r w:rsidRPr="008E0A90">
        <w:rPr>
          <w:rFonts w:cs="Calibri"/>
          <w:sz w:val="24"/>
          <w:szCs w:val="24"/>
        </w:rPr>
        <w:t>aux côtés de six (</w:t>
      </w:r>
      <w:r w:rsidR="006134C5" w:rsidRPr="008E0A90">
        <w:rPr>
          <w:rFonts w:cs="Calibri"/>
          <w:sz w:val="24"/>
          <w:szCs w:val="24"/>
        </w:rPr>
        <w:t>0</w:t>
      </w:r>
      <w:r w:rsidRPr="008E0A90">
        <w:rPr>
          <w:rFonts w:cs="Calibri"/>
          <w:sz w:val="24"/>
          <w:szCs w:val="24"/>
        </w:rPr>
        <w:t>6) pays africains pour un mandat de quatre (</w:t>
      </w:r>
      <w:r w:rsidR="006134C5" w:rsidRPr="008E0A90">
        <w:rPr>
          <w:rFonts w:cs="Calibri"/>
          <w:sz w:val="24"/>
          <w:szCs w:val="24"/>
        </w:rPr>
        <w:t>0</w:t>
      </w:r>
      <w:r w:rsidRPr="008E0A90">
        <w:rPr>
          <w:rFonts w:cs="Calibri"/>
          <w:sz w:val="24"/>
          <w:szCs w:val="24"/>
        </w:rPr>
        <w:t>4) ans et un poste au Comité de tourisme et de durabilité lors des travaux de cette 23</w:t>
      </w:r>
      <w:r w:rsidR="006134C5" w:rsidRPr="008E0A90">
        <w:rPr>
          <w:rFonts w:cs="Calibri"/>
          <w:sz w:val="24"/>
          <w:szCs w:val="24"/>
          <w:vertAlign w:val="superscript"/>
        </w:rPr>
        <w:t>ème</w:t>
      </w:r>
      <w:r w:rsidR="006134C5" w:rsidRPr="008E0A90">
        <w:rPr>
          <w:rFonts w:cs="Calibri"/>
          <w:sz w:val="24"/>
          <w:szCs w:val="24"/>
        </w:rPr>
        <w:t xml:space="preserve"> </w:t>
      </w:r>
      <w:r w:rsidRPr="008E0A90">
        <w:rPr>
          <w:rFonts w:cs="Calibri"/>
          <w:sz w:val="24"/>
          <w:szCs w:val="24"/>
        </w:rPr>
        <w:t>session tenue à Saint</w:t>
      </w:r>
      <w:r w:rsidR="00131516">
        <w:rPr>
          <w:rFonts w:cs="Calibri"/>
          <w:sz w:val="24"/>
          <w:szCs w:val="24"/>
        </w:rPr>
        <w:t xml:space="preserve"> Pétersbourg en septembre 2019.</w:t>
      </w:r>
      <w:r w:rsidRPr="008E0A90">
        <w:rPr>
          <w:rFonts w:cs="Calibri"/>
          <w:sz w:val="24"/>
          <w:szCs w:val="24"/>
        </w:rPr>
        <w:t xml:space="preserve"> </w:t>
      </w:r>
    </w:p>
    <w:p w:rsidR="000003BE" w:rsidRPr="008E0A90" w:rsidRDefault="000003BE" w:rsidP="006134C5">
      <w:pPr>
        <w:jc w:val="both"/>
        <w:rPr>
          <w:rFonts w:cs="Calibri"/>
          <w:sz w:val="24"/>
          <w:szCs w:val="24"/>
        </w:rPr>
      </w:pPr>
      <w:r w:rsidRPr="008E0A90">
        <w:rPr>
          <w:rFonts w:cs="Calibri"/>
          <w:sz w:val="24"/>
          <w:szCs w:val="24"/>
        </w:rPr>
        <w:t>Le choix de l’Algérie à ce poste "consacre son rôle majeur en Afrique et traduit la profondeur et la solidité de ses relations avec les Etats arabes et africains». L’accession de l’Algérie au Conseil Exécutif de l’OMT était une consécration politique d’envergure de notre pays à l’échelle internationale.</w:t>
      </w:r>
    </w:p>
    <w:p w:rsidR="000003BE" w:rsidRPr="008E0A90" w:rsidRDefault="000003BE" w:rsidP="00FD0B90">
      <w:pPr>
        <w:jc w:val="both"/>
        <w:rPr>
          <w:rFonts w:cs="Calibri"/>
          <w:sz w:val="24"/>
          <w:szCs w:val="24"/>
        </w:rPr>
      </w:pPr>
      <w:r w:rsidRPr="008E0A90">
        <w:rPr>
          <w:rFonts w:cs="Calibri"/>
          <w:sz w:val="24"/>
          <w:szCs w:val="24"/>
        </w:rPr>
        <w:t>Ainsi, elle aura à contribuer en concertation avec les pays africains siégeant au sein du Conseil Exécutif aux efforts entrepris pour défendre les intérêts du continent africain au sein de l’OMT, à promouvoir les potentialités touristiques du Continent Africain et mettre à profit toutes les opportunités de coopération, autour de projets de développement fondés sur le partage des savoirs et l’expertise des Entreprises et Institutions Spécialisées.</w:t>
      </w:r>
    </w:p>
    <w:p w:rsidR="00AA371D" w:rsidRPr="008E0A90" w:rsidRDefault="000003BE" w:rsidP="006831F5">
      <w:pPr>
        <w:jc w:val="both"/>
        <w:rPr>
          <w:rFonts w:cs="Calibri"/>
          <w:sz w:val="24"/>
          <w:szCs w:val="24"/>
        </w:rPr>
      </w:pPr>
      <w:r w:rsidRPr="008E0A90">
        <w:rPr>
          <w:rFonts w:cs="Calibri"/>
          <w:sz w:val="24"/>
          <w:szCs w:val="24"/>
        </w:rPr>
        <w:t>Malgré les grands efforts fournis par l’Etat Algérien à travers le vaste programme de diversification, de promotion et de facilitation, l’économie algérienne réalise des contreperformances de croissance économique. Une conjoncture liée, essentiellement, à la forte dépendance structurelle, de la quasi-totalité des ressources financières, en provenances du produit des exportations des hydrocarbures, qui demeure, une variable exogène très volatile, imprévisible et contraignante, dépendant du comportement des marchés des produits d’hydrocarbures (pétrole brut et gaz naturel).</w:t>
      </w:r>
    </w:p>
    <w:p w:rsidR="000003BE" w:rsidRPr="0078715E" w:rsidRDefault="000003BE" w:rsidP="00FD0B90">
      <w:pPr>
        <w:jc w:val="both"/>
        <w:rPr>
          <w:rFonts w:cs="Calibri"/>
          <w:b/>
          <w:bCs/>
          <w:sz w:val="24"/>
          <w:szCs w:val="24"/>
        </w:rPr>
      </w:pPr>
      <w:r w:rsidRPr="007E638F">
        <w:rPr>
          <w:rFonts w:cs="Calibri"/>
          <w:b/>
          <w:bCs/>
          <w:sz w:val="24"/>
          <w:szCs w:val="24"/>
          <w:u w:val="single"/>
        </w:rPr>
        <w:lastRenderedPageBreak/>
        <w:t>Objectif 5 :</w:t>
      </w:r>
      <w:r w:rsidRPr="0078715E">
        <w:rPr>
          <w:rFonts w:cs="Calibri"/>
          <w:b/>
          <w:bCs/>
          <w:sz w:val="24"/>
          <w:szCs w:val="24"/>
        </w:rPr>
        <w:t xml:space="preserve"> Une agriculture moderne pour une production et une productivité renforcées</w:t>
      </w:r>
    </w:p>
    <w:p w:rsidR="0078715E" w:rsidRPr="0078715E" w:rsidRDefault="0078715E" w:rsidP="0078715E">
      <w:pPr>
        <w:autoSpaceDE w:val="0"/>
        <w:autoSpaceDN w:val="0"/>
        <w:adjustRightInd w:val="0"/>
        <w:spacing w:before="120" w:after="120" w:line="240" w:lineRule="auto"/>
        <w:jc w:val="both"/>
        <w:rPr>
          <w:rFonts w:cs="Calibri"/>
          <w:sz w:val="24"/>
          <w:szCs w:val="24"/>
          <w:lang w:bidi="ar-DZ"/>
        </w:rPr>
      </w:pPr>
      <w:r w:rsidRPr="0078715E">
        <w:rPr>
          <w:rFonts w:cs="Calibri"/>
          <w:sz w:val="24"/>
          <w:szCs w:val="24"/>
          <w:lang w:bidi="ar-DZ"/>
        </w:rPr>
        <w:t>Dans le cadre de la mise en œuvre de la politique agricole nationale, l'Algérie, inscrite dans le processus de l'Agenda 2063 "</w:t>
      </w:r>
      <w:r w:rsidRPr="0078715E">
        <w:rPr>
          <w:rFonts w:cs="Calibri"/>
          <w:i/>
          <w:iCs/>
          <w:sz w:val="24"/>
          <w:szCs w:val="24"/>
          <w:lang w:bidi="ar-DZ"/>
        </w:rPr>
        <w:t>L’Afrique Que Nous Voulons</w:t>
      </w:r>
      <w:r w:rsidRPr="0078715E">
        <w:rPr>
          <w:rFonts w:cs="Calibri"/>
          <w:sz w:val="24"/>
          <w:szCs w:val="24"/>
          <w:lang w:bidi="ar-DZ"/>
        </w:rPr>
        <w:t>" et des Objectifs du Développement Durable, veille à la promotion d'une politique de développement durable, soucieuse de l'environnement, à même de répondre aux attentes nationale, régionale et continentale.</w:t>
      </w:r>
    </w:p>
    <w:p w:rsidR="0078715E" w:rsidRPr="0078715E" w:rsidRDefault="0078715E" w:rsidP="0078715E">
      <w:pPr>
        <w:spacing w:before="120" w:after="120" w:line="240" w:lineRule="auto"/>
        <w:jc w:val="both"/>
        <w:rPr>
          <w:rFonts w:cs="Calibri"/>
          <w:bCs/>
          <w:sz w:val="24"/>
          <w:szCs w:val="24"/>
        </w:rPr>
      </w:pPr>
      <w:r w:rsidRPr="0078715E">
        <w:rPr>
          <w:rFonts w:cs="Calibri"/>
          <w:bCs/>
          <w:sz w:val="24"/>
          <w:szCs w:val="24"/>
        </w:rPr>
        <w:t>La contribution du secteur de l'agriculture dans le produit Intérieur Brut (PIB) a été de plus de 12 % en 2019, contre 9,9 %  en 2013.</w:t>
      </w:r>
    </w:p>
    <w:p w:rsidR="0078715E" w:rsidRPr="0078715E" w:rsidRDefault="0078715E" w:rsidP="0078715E">
      <w:pPr>
        <w:spacing w:before="120" w:after="120" w:line="240" w:lineRule="auto"/>
        <w:jc w:val="both"/>
        <w:rPr>
          <w:rFonts w:cs="Calibri"/>
          <w:bCs/>
          <w:sz w:val="24"/>
          <w:szCs w:val="24"/>
        </w:rPr>
      </w:pPr>
      <w:r w:rsidRPr="0078715E">
        <w:rPr>
          <w:rFonts w:cs="Calibri"/>
          <w:bCs/>
          <w:sz w:val="24"/>
          <w:szCs w:val="24"/>
        </w:rPr>
        <w:t>Le taux de croissance moyen de l’Agriculture "2013-2019" est de 3,7% (il est de 36,20 % en comparant l'année 2013 à l'année 2019).</w:t>
      </w:r>
    </w:p>
    <w:p w:rsidR="0078715E" w:rsidRPr="0078715E" w:rsidRDefault="0078715E" w:rsidP="0078715E">
      <w:pPr>
        <w:spacing w:before="120" w:after="120" w:line="240" w:lineRule="auto"/>
        <w:jc w:val="both"/>
        <w:rPr>
          <w:rFonts w:cs="Calibri"/>
          <w:bCs/>
          <w:sz w:val="24"/>
          <w:szCs w:val="24"/>
        </w:rPr>
      </w:pPr>
      <w:r w:rsidRPr="0078715E">
        <w:rPr>
          <w:rFonts w:cs="Calibri"/>
          <w:bCs/>
          <w:sz w:val="24"/>
          <w:szCs w:val="24"/>
        </w:rPr>
        <w:t>La valeur de la production a atteint 3.481,7 milliards de DA en 2019 (29,1 milliards $US), contre 2.555,5 milliards de DA en 2013.  Elle résulte de l'ensemble des grandes zones agro-écologiques du pays et, en 2019, se déclinait comme suit: 39 % du littoral et des plaines; 22,6 % des hautes plaines; 21,6 % du Sud et 16,8 % des montagnes.</w:t>
      </w:r>
    </w:p>
    <w:p w:rsidR="0078715E" w:rsidRPr="0078715E" w:rsidRDefault="0078715E" w:rsidP="0078715E">
      <w:pPr>
        <w:spacing w:before="120" w:after="0" w:line="240" w:lineRule="auto"/>
        <w:jc w:val="both"/>
        <w:rPr>
          <w:rFonts w:cs="Calibri"/>
          <w:bCs/>
          <w:color w:val="000000"/>
          <w:sz w:val="24"/>
          <w:szCs w:val="24"/>
        </w:rPr>
      </w:pPr>
      <w:r w:rsidRPr="0078715E">
        <w:rPr>
          <w:rFonts w:cs="Calibri"/>
          <w:bCs/>
          <w:color w:val="000000"/>
          <w:sz w:val="24"/>
          <w:szCs w:val="24"/>
        </w:rPr>
        <w:t xml:space="preserve">Le potentiel agricole foncier (surface agricole totale) est de 44 millions d'hectares. Ce dernier est réparti entre  8,5 millions d'hectares de superficie agricole utilisée dont 1,35 million irrigués, et plus de 32 millions d’hectares de parcours steppiques, dont 3 millions de nappes alfatières et environ 4 millions de couvert forestier. </w:t>
      </w:r>
    </w:p>
    <w:p w:rsidR="0078715E" w:rsidRPr="0078715E" w:rsidRDefault="0078715E" w:rsidP="0078715E">
      <w:pPr>
        <w:spacing w:before="120" w:after="120" w:line="240" w:lineRule="auto"/>
        <w:jc w:val="both"/>
        <w:rPr>
          <w:rFonts w:cs="Calibri"/>
          <w:bCs/>
          <w:color w:val="000000"/>
          <w:sz w:val="24"/>
          <w:szCs w:val="24"/>
        </w:rPr>
      </w:pPr>
      <w:r w:rsidRPr="0078715E">
        <w:rPr>
          <w:rFonts w:cs="Calibri"/>
          <w:bCs/>
          <w:color w:val="000000"/>
          <w:sz w:val="24"/>
          <w:szCs w:val="24"/>
        </w:rPr>
        <w:t>Le secteur agricole, emploie prés de 20 % de la population active et est considéré comme le levier de l’emploi dans le monde agricole et rural, et un des principaux secteurs qui contribue au renforcement de la sécurité alimentaire.</w:t>
      </w:r>
    </w:p>
    <w:p w:rsidR="0078715E" w:rsidRPr="0078715E" w:rsidRDefault="0078715E" w:rsidP="0078715E">
      <w:pPr>
        <w:spacing w:before="120" w:after="120" w:line="240" w:lineRule="auto"/>
        <w:jc w:val="both"/>
        <w:rPr>
          <w:rFonts w:cs="Calibri"/>
          <w:bCs/>
          <w:color w:val="000000"/>
          <w:sz w:val="24"/>
          <w:szCs w:val="24"/>
        </w:rPr>
      </w:pPr>
      <w:r w:rsidRPr="0078715E">
        <w:rPr>
          <w:rFonts w:cs="Calibri"/>
          <w:bCs/>
          <w:color w:val="000000"/>
          <w:sz w:val="24"/>
          <w:szCs w:val="24"/>
        </w:rPr>
        <w:t>En 2019, la part du budget du secteur agricole a représenté 8 % de la valeur de la production agricole globale et 5 % du budget global de l’Etat. Le secteur a bénéficié, d’une dotation budgétaire de 265,067 Milliards DA, répartie entre le budget d’équipement (1%), le budget de fonctionnement (90%) et les Fonds d’Etat -comptes d’affectation spéciale- (9%).</w:t>
      </w:r>
    </w:p>
    <w:p w:rsidR="0078715E" w:rsidRPr="0078715E" w:rsidRDefault="0078715E" w:rsidP="0078715E">
      <w:pPr>
        <w:autoSpaceDE w:val="0"/>
        <w:autoSpaceDN w:val="0"/>
        <w:adjustRightInd w:val="0"/>
        <w:spacing w:before="120" w:after="120" w:line="240" w:lineRule="auto"/>
        <w:jc w:val="both"/>
        <w:rPr>
          <w:rFonts w:cs="Calibri"/>
          <w:b/>
          <w:bCs/>
          <w:sz w:val="24"/>
          <w:szCs w:val="24"/>
          <w:lang w:bidi="ar-DZ"/>
        </w:rPr>
      </w:pPr>
      <w:r w:rsidRPr="0078715E">
        <w:rPr>
          <w:rFonts w:cs="Calibri"/>
          <w:sz w:val="24"/>
          <w:szCs w:val="24"/>
          <w:lang w:bidi="ar-DZ"/>
        </w:rPr>
        <w:t>Les axes prioritaires sont orientés vers la consolidation de notre sécurité alimentaire à travers, notamment, i) la valorisation et l'utilisation optimale des terres agricoles, ii) l'extension des superficies irriguées et l'économie de l'eau, iii) l'amélioration de l'offre agricole, iv) la valorisation des productions agricoles par la modernisation et l'extension des capacités de conservation et de transformation, et v) le renforcement des dispositifs de régulation</w:t>
      </w:r>
    </w:p>
    <w:p w:rsidR="0078715E" w:rsidRPr="0078715E" w:rsidRDefault="0078715E" w:rsidP="0078715E">
      <w:pPr>
        <w:spacing w:before="120" w:after="120" w:line="240" w:lineRule="auto"/>
        <w:jc w:val="both"/>
        <w:rPr>
          <w:rFonts w:cs="Calibri"/>
          <w:sz w:val="24"/>
          <w:szCs w:val="24"/>
          <w:lang w:bidi="ar-DZ"/>
        </w:rPr>
      </w:pPr>
      <w:r w:rsidRPr="0078715E">
        <w:rPr>
          <w:rFonts w:cs="Calibri"/>
          <w:sz w:val="24"/>
          <w:szCs w:val="24"/>
          <w:lang w:bidi="ar-DZ"/>
        </w:rPr>
        <w:t>Dans le domaine forestier les axes cibles sont, i) la promotion des investissements et du partenariat pour l'exploitation et la valorisation des produits forestiers, ii) le développement de l'agroforesterie et iii) la promotion et l'encouragement du tourisme.</w:t>
      </w:r>
    </w:p>
    <w:p w:rsidR="0078715E" w:rsidRPr="0078715E" w:rsidRDefault="0078715E" w:rsidP="0078715E">
      <w:pPr>
        <w:tabs>
          <w:tab w:val="left" w:pos="1170"/>
        </w:tabs>
        <w:spacing w:before="120" w:after="120" w:line="240" w:lineRule="auto"/>
        <w:jc w:val="both"/>
        <w:rPr>
          <w:rFonts w:cs="Calibri"/>
          <w:color w:val="000000"/>
          <w:sz w:val="24"/>
          <w:szCs w:val="24"/>
        </w:rPr>
      </w:pPr>
      <w:r w:rsidRPr="0078715E">
        <w:rPr>
          <w:rFonts w:cs="Calibri"/>
          <w:sz w:val="24"/>
          <w:szCs w:val="24"/>
          <w:lang w:bidi="ar-DZ"/>
        </w:rPr>
        <w:t xml:space="preserve">L'atteinte des objectifs assignés, impliquent des actions transversales, notamment en matière d’encadrement technique et scientifique, et ce à travers </w:t>
      </w:r>
      <w:r w:rsidRPr="0078715E">
        <w:rPr>
          <w:rFonts w:cs="Calibri"/>
          <w:bCs/>
          <w:sz w:val="24"/>
          <w:szCs w:val="24"/>
        </w:rPr>
        <w:t xml:space="preserve">le renforcement de la veille sanitaire vétérinaire et phytosanitaire et des programmes de lutte et de prophylaxie contre les maladies prioritaires existantes ou menaçantes; </w:t>
      </w:r>
      <w:r w:rsidRPr="0078715E">
        <w:rPr>
          <w:rFonts w:cs="Calibri"/>
          <w:color w:val="000000"/>
          <w:sz w:val="24"/>
          <w:szCs w:val="24"/>
        </w:rPr>
        <w:t xml:space="preserve">la formation, la recherche, et la vulgarisation; </w:t>
      </w:r>
      <w:r w:rsidRPr="0078715E">
        <w:rPr>
          <w:rFonts w:cs="Calibri"/>
          <w:sz w:val="24"/>
          <w:szCs w:val="24"/>
        </w:rPr>
        <w:t>le système d’information et de suivi- évaluation, l’adaptation continue des financements, de la législation et de la réglementation, l</w:t>
      </w:r>
      <w:r w:rsidRPr="0078715E">
        <w:rPr>
          <w:rFonts w:cs="Calibri"/>
          <w:color w:val="000000"/>
          <w:sz w:val="24"/>
          <w:szCs w:val="24"/>
        </w:rPr>
        <w:t xml:space="preserve">a mobilisation et l'orientation de la coopération internationale autour des priorités de la politique nationale et continentale. </w:t>
      </w:r>
    </w:p>
    <w:p w:rsidR="0078715E" w:rsidRPr="0078715E" w:rsidRDefault="0078715E" w:rsidP="0078715E">
      <w:pPr>
        <w:tabs>
          <w:tab w:val="left" w:pos="1170"/>
        </w:tabs>
        <w:spacing w:before="120" w:after="120" w:line="240" w:lineRule="auto"/>
        <w:jc w:val="both"/>
        <w:rPr>
          <w:rFonts w:cs="Calibri"/>
          <w:bCs/>
          <w:sz w:val="24"/>
          <w:szCs w:val="24"/>
        </w:rPr>
      </w:pPr>
      <w:r w:rsidRPr="0078715E">
        <w:rPr>
          <w:rFonts w:cs="Calibri"/>
          <w:sz w:val="24"/>
          <w:szCs w:val="24"/>
        </w:rPr>
        <w:t xml:space="preserve">Dans ce cadre, </w:t>
      </w:r>
      <w:r w:rsidRPr="0078715E">
        <w:rPr>
          <w:rFonts w:cs="Calibri"/>
          <w:bCs/>
          <w:sz w:val="24"/>
          <w:szCs w:val="24"/>
        </w:rPr>
        <w:t>nous enregistrons des améliorations et des progressions annuelles continues depuis 2013 avec:</w:t>
      </w:r>
    </w:p>
    <w:p w:rsidR="0078715E" w:rsidRPr="0078715E" w:rsidRDefault="0078715E" w:rsidP="0078715E">
      <w:pPr>
        <w:pStyle w:val="ListParagraph"/>
        <w:numPr>
          <w:ilvl w:val="0"/>
          <w:numId w:val="13"/>
        </w:numPr>
        <w:spacing w:before="120" w:after="120" w:line="240" w:lineRule="auto"/>
        <w:contextualSpacing w:val="0"/>
        <w:jc w:val="both"/>
        <w:rPr>
          <w:rFonts w:cs="Calibri"/>
          <w:bCs/>
          <w:sz w:val="24"/>
          <w:szCs w:val="24"/>
        </w:rPr>
      </w:pPr>
      <w:r w:rsidRPr="0078715E">
        <w:rPr>
          <w:rFonts w:cs="Calibri"/>
          <w:bCs/>
          <w:sz w:val="24"/>
          <w:szCs w:val="24"/>
        </w:rPr>
        <w:lastRenderedPageBreak/>
        <w:t xml:space="preserve">La sécurisation des exploitants vis-à-vis de leurs terres, à travers deux dispositifs, la concession et l'accès à la propriété foncière. </w:t>
      </w:r>
      <w:r w:rsidRPr="0078715E">
        <w:rPr>
          <w:rFonts w:cs="Calibri"/>
          <w:sz w:val="24"/>
          <w:szCs w:val="24"/>
        </w:rPr>
        <w:t xml:space="preserve">Le premier enregistre un taux d’avancement de 97,9 % et le second de 96,46 %, et </w:t>
      </w:r>
      <w:r w:rsidRPr="0078715E">
        <w:rPr>
          <w:rFonts w:cs="Calibri"/>
          <w:bCs/>
          <w:color w:val="000000"/>
          <w:sz w:val="24"/>
          <w:szCs w:val="24"/>
        </w:rPr>
        <w:t>la protection des acteurs, avec l'intégration des agriculteurs au système de la sécurité sociale;</w:t>
      </w:r>
    </w:p>
    <w:p w:rsidR="0078715E" w:rsidRPr="0078715E" w:rsidRDefault="0078715E" w:rsidP="0078715E">
      <w:pPr>
        <w:spacing w:before="120" w:after="120" w:line="240" w:lineRule="auto"/>
        <w:ind w:left="360"/>
        <w:jc w:val="both"/>
        <w:rPr>
          <w:rFonts w:cs="Calibri"/>
          <w:bCs/>
          <w:color w:val="000000"/>
          <w:sz w:val="24"/>
          <w:szCs w:val="24"/>
        </w:rPr>
      </w:pPr>
      <w:r w:rsidRPr="0078715E">
        <w:rPr>
          <w:rFonts w:cs="Calibri"/>
          <w:bCs/>
          <w:color w:val="000000"/>
          <w:sz w:val="24"/>
          <w:szCs w:val="24"/>
        </w:rPr>
        <w:t>A ce titre, l'on note un regain d’intérêt des femmes et des jeunes pour le secteur agricole.  Actuellement, l’on recense environ 60.000 agricultrices détentrices de cartes professionnelles et bénéficiaires d’actes de concession ou de propriétés de terres agricoles, contre 46.290 en 2013 soit un taux d'évolution de 30 % entre 2013 et 2019, et de plus en plus de jeunes, reprenant les activités de leurs parents ou lancés dans des start up dédiées à relever des défis dans le secteur agricole au sens large.</w:t>
      </w:r>
    </w:p>
    <w:p w:rsidR="0078715E" w:rsidRPr="0078715E" w:rsidRDefault="0078715E" w:rsidP="0078715E">
      <w:pPr>
        <w:pStyle w:val="ListParagraph"/>
        <w:numPr>
          <w:ilvl w:val="0"/>
          <w:numId w:val="13"/>
        </w:numPr>
        <w:spacing w:before="120" w:after="120" w:line="240" w:lineRule="auto"/>
        <w:contextualSpacing w:val="0"/>
        <w:jc w:val="both"/>
        <w:rPr>
          <w:rFonts w:eastAsia="Times New Roman" w:cs="Calibri"/>
          <w:bCs/>
          <w:sz w:val="24"/>
          <w:szCs w:val="24"/>
          <w:lang w:eastAsia="fr-FR"/>
        </w:rPr>
      </w:pPr>
      <w:r w:rsidRPr="0078715E">
        <w:rPr>
          <w:rFonts w:cs="Calibri"/>
          <w:bCs/>
          <w:sz w:val="24"/>
          <w:szCs w:val="24"/>
        </w:rPr>
        <w:t>Pour les productions végétales et animales, les taux d'évolution comparatifs 2013/2019 se situent, pour les céréales, le maraichage, les viandes rouges, les œufs et le miel entre 10 et 20%, pour les agrumes, les dattes et les viandes blanches, entre 30 et 40%, les légumes secs à plus de 40 %, la tomate industrielle et l'oléiculture, q</w:t>
      </w:r>
      <w:r w:rsidR="00131516">
        <w:rPr>
          <w:rFonts w:cs="Calibri"/>
          <w:bCs/>
          <w:sz w:val="24"/>
          <w:szCs w:val="24"/>
        </w:rPr>
        <w:t>uant à eux dépassent les 50 %.</w:t>
      </w:r>
      <w:r w:rsidRPr="0078715E">
        <w:rPr>
          <w:rFonts w:cs="Calibri"/>
          <w:bCs/>
          <w:sz w:val="24"/>
          <w:szCs w:val="24"/>
        </w:rPr>
        <w:t xml:space="preserve"> Sur la période totale "2013-2019", le taux d'évolution moyen (sur les 7 années), se situe </w:t>
      </w:r>
      <w:r w:rsidRPr="0078715E">
        <w:rPr>
          <w:rFonts w:eastAsia="Times New Roman" w:cs="Calibri"/>
          <w:bCs/>
          <w:sz w:val="24"/>
          <w:szCs w:val="24"/>
          <w:lang w:eastAsia="fr-FR"/>
        </w:rPr>
        <w:t>autour de 10 à 11 % pour la tomate industrielle et les olives, entre 5 et 10 %  pour les viandes blanches, le miel, les légumes secs, jusqu'à environ 5% pour les dattes, agrumes, oignons, maraichage et fourrages, prés de 3 % pour la laine, les œufs, la viande rouge, le tabac, et enfin à prés de 2% pour le lait, fruits à noyaux-pépins, pommes de terre et céréales</w:t>
      </w:r>
    </w:p>
    <w:p w:rsidR="0078715E" w:rsidRPr="0078715E" w:rsidRDefault="0078715E" w:rsidP="0078715E">
      <w:pPr>
        <w:pStyle w:val="ListParagraph"/>
        <w:numPr>
          <w:ilvl w:val="0"/>
          <w:numId w:val="13"/>
        </w:numPr>
        <w:spacing w:before="120" w:after="120" w:line="240" w:lineRule="auto"/>
        <w:contextualSpacing w:val="0"/>
        <w:jc w:val="both"/>
        <w:rPr>
          <w:rFonts w:cs="Calibri"/>
          <w:bCs/>
          <w:sz w:val="24"/>
          <w:szCs w:val="24"/>
        </w:rPr>
      </w:pPr>
      <w:r w:rsidRPr="0078715E">
        <w:rPr>
          <w:rFonts w:cs="Calibri"/>
          <w:bCs/>
          <w:sz w:val="24"/>
          <w:szCs w:val="24"/>
        </w:rPr>
        <w:t xml:space="preserve">Dans le domaine forestier national et sur le plan de l’accès au foncier </w:t>
      </w:r>
      <w:r w:rsidR="00122C86" w:rsidRPr="0078715E">
        <w:rPr>
          <w:rFonts w:cs="Calibri"/>
          <w:bCs/>
          <w:sz w:val="24"/>
          <w:szCs w:val="24"/>
        </w:rPr>
        <w:t>forestier</w:t>
      </w:r>
      <w:r w:rsidRPr="0078715E">
        <w:rPr>
          <w:rFonts w:cs="Calibri"/>
          <w:bCs/>
          <w:sz w:val="24"/>
          <w:szCs w:val="24"/>
        </w:rPr>
        <w:t>, le dispositif d’autorisation d’usage mis en place a permis, à fin 2018, la mise en valeur de 9.726 hectares au profit de 3.398 bénéficiaires. L'exploitation du bois enregistre 186.295 m</w:t>
      </w:r>
      <w:r w:rsidRPr="0078715E">
        <w:rPr>
          <w:rFonts w:cs="Calibri"/>
          <w:bCs/>
          <w:sz w:val="24"/>
          <w:szCs w:val="24"/>
          <w:vertAlign w:val="superscript"/>
        </w:rPr>
        <w:t>3</w:t>
      </w:r>
      <w:r w:rsidRPr="0078715E">
        <w:rPr>
          <w:rFonts w:cs="Calibri"/>
          <w:bCs/>
          <w:sz w:val="24"/>
          <w:szCs w:val="24"/>
        </w:rPr>
        <w:t xml:space="preserve"> en 2018, contre 112.354 m</w:t>
      </w:r>
      <w:r w:rsidRPr="0078715E">
        <w:rPr>
          <w:rFonts w:cs="Calibri"/>
          <w:bCs/>
          <w:sz w:val="24"/>
          <w:szCs w:val="24"/>
          <w:vertAlign w:val="superscript"/>
        </w:rPr>
        <w:t>3</w:t>
      </w:r>
      <w:r w:rsidRPr="0078715E">
        <w:rPr>
          <w:rFonts w:cs="Calibri"/>
          <w:bCs/>
          <w:sz w:val="24"/>
          <w:szCs w:val="24"/>
        </w:rPr>
        <w:t xml:space="preserve"> en 2013, soit un taux d'évolution de 66%, et la récolte du liège, 89.309 quintaux en 2019 contre 71.240 quintaux en 2013, soit un taux d'évolution de 25 %.</w:t>
      </w:r>
    </w:p>
    <w:p w:rsidR="0078715E" w:rsidRPr="0078715E" w:rsidRDefault="0078715E" w:rsidP="0078715E">
      <w:pPr>
        <w:pStyle w:val="ListParagraph"/>
        <w:numPr>
          <w:ilvl w:val="0"/>
          <w:numId w:val="13"/>
        </w:numPr>
        <w:spacing w:before="120" w:after="120" w:line="240" w:lineRule="auto"/>
        <w:contextualSpacing w:val="0"/>
        <w:jc w:val="both"/>
        <w:rPr>
          <w:rFonts w:cs="Calibri"/>
          <w:bCs/>
          <w:color w:val="000000"/>
          <w:sz w:val="24"/>
          <w:szCs w:val="24"/>
        </w:rPr>
      </w:pPr>
      <w:r w:rsidRPr="0078715E">
        <w:rPr>
          <w:rFonts w:cs="Calibri"/>
          <w:bCs/>
          <w:sz w:val="24"/>
          <w:szCs w:val="24"/>
        </w:rPr>
        <w:t xml:space="preserve">Dans le cadre de la valorisation des produits agricoles, </w:t>
      </w:r>
      <w:r w:rsidRPr="0078715E">
        <w:rPr>
          <w:rFonts w:cs="Calibri"/>
          <w:bCs/>
          <w:color w:val="000000"/>
          <w:sz w:val="24"/>
          <w:szCs w:val="24"/>
        </w:rPr>
        <w:t xml:space="preserve">la mise en place d’un dispositif portant sur la promotion et la protection de la production nationale par une indication géographique et des appellations d'origines. A ce jour, </w:t>
      </w:r>
      <w:r w:rsidRPr="0078715E">
        <w:rPr>
          <w:rFonts w:cs="Calibri"/>
          <w:bCs/>
          <w:sz w:val="24"/>
          <w:szCs w:val="24"/>
        </w:rPr>
        <w:t>trois produits ont déjà fait l’objet de labellisation (la datte deglet nour de Tolga – Biskra, la figue sèche de Beni Maouche – Béjaia et le fromage de Bouhaza – Oum El Bouaghi) et une vingtaine d'autres produits de terroirs ont été identifiés sur les 60 inventoriés en vue d’être labélisés;</w:t>
      </w:r>
    </w:p>
    <w:p w:rsidR="0078715E" w:rsidRPr="0078715E" w:rsidRDefault="0078715E" w:rsidP="0078715E">
      <w:pPr>
        <w:pStyle w:val="ListParagraph"/>
        <w:numPr>
          <w:ilvl w:val="0"/>
          <w:numId w:val="13"/>
        </w:numPr>
        <w:spacing w:before="120" w:after="120" w:line="240" w:lineRule="auto"/>
        <w:contextualSpacing w:val="0"/>
        <w:jc w:val="both"/>
        <w:rPr>
          <w:rFonts w:cs="Calibri"/>
          <w:bCs/>
          <w:sz w:val="24"/>
          <w:szCs w:val="24"/>
        </w:rPr>
      </w:pPr>
      <w:r w:rsidRPr="0078715E">
        <w:rPr>
          <w:rFonts w:cs="Calibri"/>
          <w:bCs/>
          <w:sz w:val="24"/>
          <w:szCs w:val="24"/>
        </w:rPr>
        <w:t>Pour l’irrigation, le dispositif mis en place a permis l’irrigation de 263.557 hectares (irrigation d’appoint pour 118.113 hectares et irrigation totale 145.444 hectares), ce qui représente 43 % de l’objectif fixé;</w:t>
      </w:r>
    </w:p>
    <w:p w:rsidR="0078715E" w:rsidRPr="0078715E" w:rsidRDefault="0078715E" w:rsidP="0078715E">
      <w:pPr>
        <w:pStyle w:val="ListParagraph"/>
        <w:numPr>
          <w:ilvl w:val="0"/>
          <w:numId w:val="13"/>
        </w:numPr>
        <w:spacing w:before="120" w:after="120" w:line="240" w:lineRule="auto"/>
        <w:contextualSpacing w:val="0"/>
        <w:jc w:val="both"/>
        <w:rPr>
          <w:rFonts w:cs="Calibri"/>
          <w:bCs/>
          <w:color w:val="000000"/>
          <w:sz w:val="24"/>
          <w:szCs w:val="24"/>
        </w:rPr>
      </w:pPr>
      <w:r w:rsidRPr="0078715E">
        <w:rPr>
          <w:rFonts w:cs="Calibri"/>
          <w:bCs/>
          <w:sz w:val="24"/>
          <w:szCs w:val="24"/>
        </w:rPr>
        <w:t>Le renforcement des capacités de stockage et de régulation, notamment la réalisation de silos pour le stockage des céréales, la remise en état des entrepôts frigorifiques publics à</w:t>
      </w:r>
      <w:r w:rsidRPr="0078715E">
        <w:rPr>
          <w:rFonts w:cs="Calibri"/>
          <w:sz w:val="24"/>
          <w:szCs w:val="24"/>
        </w:rPr>
        <w:t xml:space="preserve"> l'arrêt et la réhabilitation d'un abattoir public, la réalisation de nouvelles structures de stockage et de trois complexes d’abattage publics;</w:t>
      </w:r>
      <w:r w:rsidRPr="0078715E">
        <w:rPr>
          <w:rFonts w:cs="Calibri"/>
          <w:bCs/>
          <w:sz w:val="24"/>
          <w:szCs w:val="24"/>
        </w:rPr>
        <w:t xml:space="preserve"> </w:t>
      </w:r>
    </w:p>
    <w:p w:rsidR="0078715E" w:rsidRPr="0078715E" w:rsidRDefault="0078715E" w:rsidP="0078715E">
      <w:pPr>
        <w:pStyle w:val="ListParagraph"/>
        <w:numPr>
          <w:ilvl w:val="0"/>
          <w:numId w:val="12"/>
        </w:numPr>
        <w:spacing w:before="120" w:after="120" w:line="240" w:lineRule="auto"/>
        <w:contextualSpacing w:val="0"/>
        <w:jc w:val="both"/>
        <w:rPr>
          <w:rFonts w:cs="Calibri"/>
          <w:bCs/>
          <w:color w:val="000000"/>
          <w:sz w:val="24"/>
          <w:szCs w:val="24"/>
        </w:rPr>
      </w:pPr>
      <w:r w:rsidRPr="0078715E">
        <w:rPr>
          <w:rFonts w:cs="Calibri"/>
          <w:bCs/>
          <w:color w:val="000000"/>
          <w:sz w:val="24"/>
          <w:szCs w:val="24"/>
        </w:rPr>
        <w:t>L'amélioration du statut sanitaire national en matière de Fièvre aphteuse et de clavelée; de la couverture phytosanitaire, de la qualité et la quantité des intrants agricoles mis à la disposition des agriculteurs et des superficies traitées contre les différents ravageurs des cultures passant de 1.405.489 ha en 2013 à 1.806.933 ha en 2019 ;</w:t>
      </w:r>
    </w:p>
    <w:p w:rsidR="0078715E" w:rsidRPr="0078715E" w:rsidRDefault="0078715E" w:rsidP="0078715E">
      <w:pPr>
        <w:pStyle w:val="ListParagraph"/>
        <w:numPr>
          <w:ilvl w:val="0"/>
          <w:numId w:val="12"/>
        </w:numPr>
        <w:spacing w:before="120" w:after="120" w:line="240" w:lineRule="auto"/>
        <w:contextualSpacing w:val="0"/>
        <w:jc w:val="both"/>
        <w:rPr>
          <w:rFonts w:cs="Calibri"/>
          <w:bCs/>
          <w:color w:val="000000"/>
          <w:sz w:val="24"/>
          <w:szCs w:val="24"/>
        </w:rPr>
      </w:pPr>
      <w:r w:rsidRPr="0078715E">
        <w:rPr>
          <w:rFonts w:cs="Calibri"/>
          <w:bCs/>
          <w:color w:val="000000"/>
          <w:sz w:val="24"/>
          <w:szCs w:val="24"/>
        </w:rPr>
        <w:lastRenderedPageBreak/>
        <w:t xml:space="preserve">Sur le plan de l’accès au savoir et de l’accompagnement des acteurs, de 2013 au premier semestre 2019, 292.860 personnes ont été formées, dont 238.732 agriculteurs, éleveurs, et jeunes porteurs de projets et 54.128 cadres; </w:t>
      </w:r>
    </w:p>
    <w:p w:rsidR="0078715E" w:rsidRPr="0078715E" w:rsidRDefault="0078715E" w:rsidP="0078715E">
      <w:pPr>
        <w:pStyle w:val="ListParagraph"/>
        <w:numPr>
          <w:ilvl w:val="0"/>
          <w:numId w:val="12"/>
        </w:numPr>
        <w:spacing w:before="120" w:after="120" w:line="240" w:lineRule="auto"/>
        <w:contextualSpacing w:val="0"/>
        <w:jc w:val="both"/>
        <w:rPr>
          <w:rFonts w:cs="Calibri"/>
          <w:bCs/>
          <w:color w:val="000000"/>
          <w:sz w:val="24"/>
          <w:szCs w:val="24"/>
        </w:rPr>
      </w:pPr>
      <w:r w:rsidRPr="0078715E">
        <w:rPr>
          <w:rFonts w:cs="Calibri"/>
          <w:bCs/>
          <w:color w:val="000000"/>
          <w:sz w:val="24"/>
          <w:szCs w:val="24"/>
        </w:rPr>
        <w:t>La mise en place, de 2013 à 2019, de projets de recherche et de développement dans des thématiques telles que la sélection des céréales, l’élevage bovin, ovins, l’identification de races locales de chèvre, le développement rural, la lutte contre la désertification, la sylviculture, les changements climatiques et leurs effets sur la production, les biotechnologies végétales, notamment dans l’amélioration génétique; et la participation à 80 projets de recherche &amp; développement et de renforcement de capacités, entrant dans le cadre de la coopération multilatérale et bilatérale.</w:t>
      </w:r>
    </w:p>
    <w:p w:rsidR="0078715E" w:rsidRPr="0078715E" w:rsidRDefault="0078715E" w:rsidP="0078715E">
      <w:pPr>
        <w:pStyle w:val="ListParagraph"/>
        <w:numPr>
          <w:ilvl w:val="0"/>
          <w:numId w:val="12"/>
        </w:numPr>
        <w:spacing w:before="120" w:after="120" w:line="240" w:lineRule="auto"/>
        <w:contextualSpacing w:val="0"/>
        <w:jc w:val="both"/>
        <w:rPr>
          <w:rFonts w:cs="Calibri"/>
          <w:bCs/>
          <w:color w:val="000000"/>
          <w:sz w:val="24"/>
          <w:szCs w:val="24"/>
        </w:rPr>
      </w:pPr>
      <w:r w:rsidRPr="0078715E">
        <w:rPr>
          <w:rFonts w:cs="Calibri"/>
          <w:bCs/>
          <w:color w:val="000000"/>
          <w:sz w:val="24"/>
          <w:szCs w:val="24"/>
        </w:rPr>
        <w:t>La création de six (06) unités de recherche auprès de 5 institutions d’appui scientifique et technique (Institut National de Protection des Végétaux; Institut Technique des Grandes Culture « ITGC »; Institut National de Vulgarisation Agricole « INVA », Institut technique de l’Arboriculture Fruitière et de la Vigne « ITAFV »; Institut Technique des Cultures Maraichères et Industrielles « ITCMI »). D'autres sont prévues au cours du 1</w:t>
      </w:r>
      <w:r w:rsidRPr="0078715E">
        <w:rPr>
          <w:rFonts w:cs="Calibri"/>
          <w:bCs/>
          <w:color w:val="000000"/>
          <w:sz w:val="24"/>
          <w:szCs w:val="24"/>
          <w:vertAlign w:val="superscript"/>
        </w:rPr>
        <w:t>er</w:t>
      </w:r>
      <w:r w:rsidRPr="0078715E">
        <w:rPr>
          <w:rFonts w:cs="Calibri"/>
          <w:bCs/>
          <w:color w:val="000000"/>
          <w:sz w:val="24"/>
          <w:szCs w:val="24"/>
        </w:rPr>
        <w:t xml:space="preserve"> semestre 2020 au sein d'autres institutions d’appui technique et d'établissements publics à caractère économique, sous tutelle du ministère;</w:t>
      </w:r>
    </w:p>
    <w:p w:rsidR="0078715E" w:rsidRPr="0078715E" w:rsidRDefault="0078715E" w:rsidP="0078715E">
      <w:pPr>
        <w:pStyle w:val="ListParagraph"/>
        <w:numPr>
          <w:ilvl w:val="0"/>
          <w:numId w:val="12"/>
        </w:numPr>
        <w:spacing w:before="120" w:after="120" w:line="240" w:lineRule="auto"/>
        <w:contextualSpacing w:val="0"/>
        <w:jc w:val="both"/>
        <w:rPr>
          <w:rFonts w:cs="Calibri"/>
          <w:bCs/>
          <w:color w:val="000000"/>
          <w:sz w:val="24"/>
          <w:szCs w:val="24"/>
        </w:rPr>
      </w:pPr>
      <w:r w:rsidRPr="0078715E">
        <w:rPr>
          <w:rFonts w:cs="Calibri"/>
          <w:bCs/>
          <w:color w:val="000000"/>
          <w:sz w:val="24"/>
          <w:szCs w:val="24"/>
        </w:rPr>
        <w:t>Soutien aux projets innovants et mise en place, d’un mécanisme opérationnel permettant l'identification, l'orientation et l'accompagnement des startups et leur parrainage dans les domaines pertinents; </w:t>
      </w:r>
    </w:p>
    <w:p w:rsidR="0078715E" w:rsidRPr="0078715E" w:rsidRDefault="0078715E" w:rsidP="0078715E">
      <w:pPr>
        <w:pStyle w:val="ListParagraph"/>
        <w:numPr>
          <w:ilvl w:val="0"/>
          <w:numId w:val="12"/>
        </w:numPr>
        <w:spacing w:before="120" w:after="120" w:line="240" w:lineRule="auto"/>
        <w:contextualSpacing w:val="0"/>
        <w:jc w:val="both"/>
        <w:rPr>
          <w:rFonts w:cs="Calibri"/>
          <w:bCs/>
          <w:sz w:val="24"/>
          <w:szCs w:val="24"/>
        </w:rPr>
      </w:pPr>
      <w:r w:rsidRPr="0078715E">
        <w:rPr>
          <w:rFonts w:cs="Calibri"/>
          <w:bCs/>
          <w:color w:val="000000"/>
          <w:sz w:val="24"/>
          <w:szCs w:val="24"/>
        </w:rPr>
        <w:t>Le lancement d'opérations de numérisation du secteur et le développement d'applications adaptées au monde agricole et forestier, ainsi qu'un système d’information vétérinaire et d’identification pérenne des animaux</w:t>
      </w:r>
    </w:p>
    <w:p w:rsidR="007E638F" w:rsidRPr="007E638F" w:rsidRDefault="007E638F" w:rsidP="00FD0B90">
      <w:pPr>
        <w:jc w:val="both"/>
        <w:rPr>
          <w:rFonts w:cs="Calibri"/>
          <w:b/>
          <w:bCs/>
          <w:sz w:val="14"/>
          <w:szCs w:val="14"/>
        </w:rPr>
      </w:pPr>
    </w:p>
    <w:p w:rsidR="000003BE" w:rsidRDefault="000003BE" w:rsidP="00FD0B90">
      <w:pPr>
        <w:jc w:val="both"/>
        <w:rPr>
          <w:rFonts w:cs="Calibri"/>
          <w:b/>
          <w:bCs/>
          <w:sz w:val="24"/>
          <w:szCs w:val="24"/>
        </w:rPr>
      </w:pPr>
      <w:r w:rsidRPr="007E638F">
        <w:rPr>
          <w:rFonts w:cs="Calibri"/>
          <w:b/>
          <w:bCs/>
          <w:sz w:val="24"/>
          <w:szCs w:val="24"/>
          <w:u w:val="single"/>
        </w:rPr>
        <w:t>Objectif 6</w:t>
      </w:r>
      <w:r w:rsidRPr="0078715E">
        <w:rPr>
          <w:rFonts w:cs="Calibri"/>
          <w:b/>
          <w:bCs/>
          <w:sz w:val="24"/>
          <w:szCs w:val="24"/>
        </w:rPr>
        <w:t xml:space="preserve"> : Economie bleu</w:t>
      </w:r>
      <w:r w:rsidR="0078715E" w:rsidRPr="0078715E">
        <w:rPr>
          <w:rFonts w:cs="Calibri"/>
          <w:b/>
          <w:bCs/>
          <w:sz w:val="24"/>
          <w:szCs w:val="24"/>
        </w:rPr>
        <w:t>e</w:t>
      </w:r>
      <w:r w:rsidRPr="0078715E">
        <w:rPr>
          <w:rFonts w:cs="Calibri"/>
          <w:b/>
          <w:bCs/>
          <w:sz w:val="24"/>
          <w:szCs w:val="24"/>
        </w:rPr>
        <w:t>/des océans pour une croissance économique accélérée</w:t>
      </w:r>
    </w:p>
    <w:p w:rsidR="007E638F" w:rsidRPr="007E638F" w:rsidRDefault="007E638F" w:rsidP="00FD0B90">
      <w:pPr>
        <w:jc w:val="both"/>
        <w:rPr>
          <w:rFonts w:cs="Calibri"/>
          <w:b/>
          <w:bCs/>
          <w:sz w:val="2"/>
          <w:szCs w:val="2"/>
        </w:rPr>
      </w:pPr>
    </w:p>
    <w:p w:rsidR="0078715E" w:rsidRPr="0078715E" w:rsidRDefault="0078715E" w:rsidP="0078715E">
      <w:pPr>
        <w:spacing w:before="120" w:after="120" w:line="240" w:lineRule="auto"/>
        <w:jc w:val="both"/>
        <w:rPr>
          <w:rFonts w:cs="Calibri"/>
          <w:sz w:val="24"/>
          <w:szCs w:val="24"/>
          <w:lang w:bidi="ar-DZ"/>
        </w:rPr>
      </w:pPr>
      <w:r w:rsidRPr="0078715E">
        <w:rPr>
          <w:rFonts w:cs="Calibri"/>
          <w:sz w:val="24"/>
          <w:szCs w:val="24"/>
          <w:lang w:bidi="ar-DZ"/>
        </w:rPr>
        <w:t>Les actions se focalisent sur i) l'exploitation optimale des ressources halieutiques en encourageant les investissements, ii) l'identification des zones d'activités aquacoles prioritaires et iii) le développement d'activités de conditionnement et de transformation.</w:t>
      </w:r>
    </w:p>
    <w:p w:rsidR="0078715E" w:rsidRDefault="0078715E" w:rsidP="0078715E">
      <w:pPr>
        <w:spacing w:before="120" w:after="120" w:line="240" w:lineRule="auto"/>
        <w:jc w:val="both"/>
        <w:rPr>
          <w:rFonts w:cs="Calibri"/>
          <w:bCs/>
          <w:sz w:val="24"/>
          <w:szCs w:val="24"/>
        </w:rPr>
      </w:pPr>
      <w:r w:rsidRPr="0078715E">
        <w:rPr>
          <w:rFonts w:cs="Calibri"/>
          <w:sz w:val="24"/>
          <w:szCs w:val="24"/>
          <w:lang w:bidi="ar-DZ"/>
        </w:rPr>
        <w:t xml:space="preserve">A ce titre </w:t>
      </w:r>
      <w:r w:rsidRPr="0078715E">
        <w:rPr>
          <w:rFonts w:cs="Calibri"/>
          <w:sz w:val="24"/>
          <w:szCs w:val="24"/>
        </w:rPr>
        <w:t>l'on</w:t>
      </w:r>
      <w:r w:rsidRPr="0078715E">
        <w:rPr>
          <w:rFonts w:cs="Calibri"/>
          <w:bCs/>
          <w:sz w:val="24"/>
          <w:szCs w:val="24"/>
        </w:rPr>
        <w:t xml:space="preserve"> enregistre plus de vingt trois (23) zones d’activités aquacoles affectées et occupées par des projets de développement durable de l’aquaculture, dans le cadre de l'exploitation optimale des sites aquacoles;  30 projets d’aquaculture marine en exploitation, dont 13 projets en pisciculture marine, 20 projets en conchyliculture et 32 projets d’aquaculture d’eau douce en exploitation, dans le cadre de l'encouragement de la réalisation de projets de production de petite et moyenne dimensions à haute valeur marchande et onze (11) unités de transformation des produits halieutiques opérationnelles, dans le cadre du développement de l’industrie de la pêche et de l’aquaculture.</w:t>
      </w:r>
    </w:p>
    <w:p w:rsidR="0078715E" w:rsidRPr="0078715E" w:rsidRDefault="0078715E" w:rsidP="0078715E">
      <w:pPr>
        <w:spacing w:before="120" w:after="120" w:line="240" w:lineRule="auto"/>
        <w:jc w:val="both"/>
        <w:rPr>
          <w:rFonts w:cs="Calibri"/>
          <w:bCs/>
          <w:sz w:val="24"/>
          <w:szCs w:val="24"/>
        </w:rPr>
      </w:pPr>
      <w:r w:rsidRPr="0078715E">
        <w:rPr>
          <w:rFonts w:cs="Calibri"/>
          <w:bCs/>
          <w:sz w:val="24"/>
          <w:szCs w:val="24"/>
        </w:rPr>
        <w:t>Les taux d'évolution pour les produits de la pêche et de l'aquaculture se situent, entre 2015 (année d'intégration de la pêche et de l'aquaculture au secteur) et 2018 à plus  de 200 %  pour la production aquacole, la production aquacole continentale et la pêche  hauturière (thon rouge ICCAT), à prés de 400 % pour la production de la pisciculture marine et de la conchyliculture et de 14 % pour la production halieutique.</w:t>
      </w:r>
    </w:p>
    <w:p w:rsidR="0078715E" w:rsidRPr="0078715E" w:rsidRDefault="0078715E" w:rsidP="0078715E">
      <w:pPr>
        <w:autoSpaceDE w:val="0"/>
        <w:autoSpaceDN w:val="0"/>
        <w:adjustRightInd w:val="0"/>
        <w:spacing w:before="120" w:after="120" w:line="240" w:lineRule="auto"/>
        <w:jc w:val="both"/>
        <w:rPr>
          <w:rFonts w:cs="Calibri"/>
          <w:color w:val="000000"/>
          <w:sz w:val="24"/>
          <w:szCs w:val="24"/>
        </w:rPr>
      </w:pPr>
      <w:r w:rsidRPr="0078715E">
        <w:rPr>
          <w:rFonts w:cs="Calibri"/>
          <w:sz w:val="24"/>
          <w:szCs w:val="24"/>
          <w:lang w:bidi="ar-DZ"/>
        </w:rPr>
        <w:lastRenderedPageBreak/>
        <w:t xml:space="preserve">Par ailleurs, les programmes de développement initiés impliquent également une exploitation raisonnée des espaces maritimes, la </w:t>
      </w:r>
      <w:r w:rsidRPr="0078715E">
        <w:rPr>
          <w:rFonts w:cs="Calibri"/>
          <w:sz w:val="24"/>
          <w:szCs w:val="24"/>
        </w:rPr>
        <w:t>promotion d'une pêche artisanale</w:t>
      </w:r>
      <w:r w:rsidRPr="0078715E">
        <w:rPr>
          <w:rFonts w:cs="Calibri"/>
          <w:color w:val="000000"/>
          <w:sz w:val="24"/>
          <w:szCs w:val="24"/>
        </w:rPr>
        <w:t xml:space="preserve"> responsable, d’une aquaculture durable, et la sécurisation des pécheurs (</w:t>
      </w:r>
      <w:r w:rsidRPr="0078715E">
        <w:rPr>
          <w:rFonts w:cs="Calibri"/>
          <w:bCs/>
          <w:color w:val="000000"/>
          <w:sz w:val="24"/>
          <w:szCs w:val="24"/>
        </w:rPr>
        <w:t>mise en place d’une police d’assurance pour l’activité aquacole, l'adaptation du régime de retraite des marins pêcheurs, la mise en place de Centres de santé au niveau des enceintes portuaires et la prise en charge de l’assurance des marins pêcheurs pendant l’arrêt biologique</w:t>
      </w:r>
      <w:r w:rsidRPr="0078715E">
        <w:rPr>
          <w:rFonts w:cs="Calibri"/>
          <w:color w:val="000000"/>
          <w:sz w:val="24"/>
          <w:szCs w:val="24"/>
        </w:rPr>
        <w:t>).</w:t>
      </w:r>
    </w:p>
    <w:p w:rsidR="0078715E" w:rsidRPr="0078715E" w:rsidRDefault="0078715E" w:rsidP="0078715E">
      <w:pPr>
        <w:spacing w:before="120" w:after="120" w:line="240" w:lineRule="auto"/>
        <w:jc w:val="both"/>
        <w:rPr>
          <w:rFonts w:cs="Calibri"/>
          <w:bCs/>
          <w:sz w:val="24"/>
          <w:szCs w:val="24"/>
        </w:rPr>
      </w:pPr>
      <w:r w:rsidRPr="0078715E">
        <w:rPr>
          <w:rFonts w:cs="Calibri"/>
          <w:bCs/>
          <w:sz w:val="24"/>
          <w:szCs w:val="24"/>
        </w:rPr>
        <w:t>Les actions menées ont porté, notamment sur la surveillance des espèces toxiques introduites et leurs impacts sur la biodiversité, la prévention et le contrôle des espèces envahissantes, la réalisation d’un état des lieux sur les espèces marines non indigènes et l’élaboration d’un protocole de leur surveillance.</w:t>
      </w:r>
    </w:p>
    <w:p w:rsidR="0078715E" w:rsidRDefault="0078715E" w:rsidP="0078715E">
      <w:pPr>
        <w:spacing w:before="120" w:after="120" w:line="240" w:lineRule="auto"/>
        <w:jc w:val="both"/>
        <w:rPr>
          <w:rFonts w:cs="Calibri"/>
          <w:bCs/>
          <w:sz w:val="24"/>
          <w:szCs w:val="24"/>
        </w:rPr>
      </w:pPr>
      <w:r w:rsidRPr="0078715E">
        <w:rPr>
          <w:rFonts w:cs="Calibri"/>
          <w:bCs/>
          <w:sz w:val="24"/>
          <w:szCs w:val="24"/>
        </w:rPr>
        <w:t xml:space="preserve">L'on enregistre également, la mise en place de trois (03) aires marines protégées, qui sont classées, pour la préservation et la restauration de la production des ressources biologiques marines de la frange côtière Algérienne,  à savoir iles Habibas, l’ile plane  et Cap lindles. La surface des aires marines protégées, est estimée actuellement à 63.500 hectares. </w:t>
      </w:r>
    </w:p>
    <w:p w:rsidR="007E638F" w:rsidRPr="007E638F" w:rsidRDefault="007E638F" w:rsidP="0078715E">
      <w:pPr>
        <w:spacing w:before="120" w:after="120" w:line="240" w:lineRule="auto"/>
        <w:jc w:val="both"/>
        <w:rPr>
          <w:rFonts w:cs="Calibri"/>
          <w:bCs/>
          <w:sz w:val="16"/>
          <w:szCs w:val="16"/>
        </w:rPr>
      </w:pPr>
    </w:p>
    <w:p w:rsidR="000003BE" w:rsidRPr="0078715E" w:rsidRDefault="000003BE" w:rsidP="00FD0B90">
      <w:pPr>
        <w:jc w:val="both"/>
        <w:rPr>
          <w:rFonts w:cs="Calibri"/>
          <w:b/>
          <w:bCs/>
          <w:sz w:val="24"/>
          <w:szCs w:val="24"/>
        </w:rPr>
      </w:pPr>
      <w:r w:rsidRPr="007E638F">
        <w:rPr>
          <w:rFonts w:cs="Calibri"/>
          <w:b/>
          <w:bCs/>
          <w:sz w:val="24"/>
          <w:szCs w:val="24"/>
          <w:u w:val="single"/>
        </w:rPr>
        <w:t>Objectif 7</w:t>
      </w:r>
      <w:r w:rsidRPr="0078715E">
        <w:rPr>
          <w:rFonts w:cs="Calibri"/>
          <w:b/>
          <w:bCs/>
          <w:sz w:val="24"/>
          <w:szCs w:val="24"/>
        </w:rPr>
        <w:t xml:space="preserve"> : des économies et des collectivités durables sur le plan environnemental et soucieuse du climat</w:t>
      </w:r>
    </w:p>
    <w:p w:rsidR="0078715E" w:rsidRPr="0078715E" w:rsidRDefault="0078715E" w:rsidP="0078715E">
      <w:pPr>
        <w:spacing w:before="120" w:after="120" w:line="240" w:lineRule="auto"/>
        <w:jc w:val="both"/>
        <w:rPr>
          <w:rFonts w:cs="Calibri"/>
          <w:sz w:val="24"/>
          <w:szCs w:val="24"/>
          <w:lang w:bidi="ar-DZ"/>
        </w:rPr>
      </w:pPr>
      <w:r w:rsidRPr="0078715E">
        <w:rPr>
          <w:rFonts w:cs="Calibri"/>
          <w:sz w:val="24"/>
          <w:szCs w:val="24"/>
          <w:lang w:bidi="ar-DZ"/>
        </w:rPr>
        <w:t>Les axes prioritaires portent sur l'exploitation rationnelle de nos ressources naturelles</w:t>
      </w:r>
      <w:r w:rsidRPr="0078715E">
        <w:rPr>
          <w:rFonts w:cs="Calibri"/>
          <w:color w:val="000000"/>
          <w:sz w:val="24"/>
          <w:szCs w:val="24"/>
        </w:rPr>
        <w:t>, la gestion responsable et durable des espaces agricoles et forestiers</w:t>
      </w:r>
      <w:r w:rsidRPr="0078715E">
        <w:rPr>
          <w:rFonts w:cs="Calibri"/>
          <w:sz w:val="24"/>
          <w:szCs w:val="24"/>
          <w:lang w:bidi="ar-DZ"/>
        </w:rPr>
        <w:t xml:space="preserve">, y compris dans le monde rural, </w:t>
      </w:r>
      <w:r w:rsidRPr="0078715E">
        <w:rPr>
          <w:rFonts w:cs="Calibri"/>
          <w:sz w:val="24"/>
          <w:szCs w:val="24"/>
        </w:rPr>
        <w:t>les zones de montagn</w:t>
      </w:r>
      <w:r w:rsidRPr="0078715E">
        <w:rPr>
          <w:rFonts w:cs="Calibri"/>
          <w:color w:val="000000"/>
          <w:sz w:val="24"/>
          <w:szCs w:val="24"/>
        </w:rPr>
        <w:t xml:space="preserve">e, </w:t>
      </w:r>
      <w:r w:rsidRPr="0078715E">
        <w:rPr>
          <w:rFonts w:cs="Calibri"/>
          <w:sz w:val="24"/>
          <w:szCs w:val="24"/>
        </w:rPr>
        <w:t>les parcours steppiques, présahariens et sahariens</w:t>
      </w:r>
      <w:r w:rsidRPr="0078715E">
        <w:rPr>
          <w:rFonts w:cs="Calibri"/>
          <w:sz w:val="24"/>
          <w:szCs w:val="24"/>
          <w:lang w:bidi="ar-DZ"/>
        </w:rPr>
        <w:t>, ainsi que</w:t>
      </w:r>
      <w:r w:rsidRPr="0078715E">
        <w:rPr>
          <w:rFonts w:cs="Calibri"/>
          <w:sz w:val="24"/>
          <w:szCs w:val="24"/>
        </w:rPr>
        <w:t xml:space="preserve"> la </w:t>
      </w:r>
      <w:r w:rsidRPr="0078715E">
        <w:rPr>
          <w:rFonts w:cs="Calibri"/>
          <w:color w:val="000000"/>
          <w:sz w:val="24"/>
          <w:szCs w:val="24"/>
        </w:rPr>
        <w:t xml:space="preserve">protection </w:t>
      </w:r>
      <w:r w:rsidRPr="0078715E">
        <w:rPr>
          <w:rFonts w:cs="Calibri"/>
          <w:sz w:val="24"/>
          <w:szCs w:val="24"/>
          <w:lang w:bidi="ar-DZ"/>
        </w:rPr>
        <w:t>des patrimoines.</w:t>
      </w:r>
    </w:p>
    <w:p w:rsidR="0078715E" w:rsidRPr="0078715E" w:rsidRDefault="0078715E" w:rsidP="0078715E">
      <w:pPr>
        <w:spacing w:before="120" w:after="120" w:line="240" w:lineRule="auto"/>
        <w:jc w:val="both"/>
        <w:rPr>
          <w:rFonts w:cs="Calibri"/>
          <w:color w:val="000000"/>
          <w:sz w:val="24"/>
          <w:szCs w:val="24"/>
        </w:rPr>
      </w:pPr>
      <w:r w:rsidRPr="0078715E">
        <w:rPr>
          <w:rFonts w:cs="Calibri"/>
          <w:color w:val="000000"/>
          <w:sz w:val="24"/>
          <w:szCs w:val="24"/>
        </w:rPr>
        <w:t>Il y a lieu de noter que l'utilisation rationnelle des ressources naturelles et leur préservation au profit des générations futures, la protection des terres agricoles et la protection du  domaine public hydraulique, sont consacrées par la Constitution.</w:t>
      </w:r>
    </w:p>
    <w:p w:rsidR="0078715E" w:rsidRPr="0078715E" w:rsidRDefault="0078715E" w:rsidP="0078715E">
      <w:pPr>
        <w:spacing w:before="120" w:after="120" w:line="240" w:lineRule="auto"/>
        <w:jc w:val="both"/>
        <w:rPr>
          <w:rFonts w:cs="Calibri"/>
          <w:color w:val="000000"/>
          <w:sz w:val="24"/>
          <w:szCs w:val="24"/>
        </w:rPr>
      </w:pPr>
      <w:r w:rsidRPr="0078715E">
        <w:rPr>
          <w:rFonts w:cs="Calibri"/>
          <w:sz w:val="24"/>
          <w:szCs w:val="24"/>
          <w:lang w:bidi="ar-DZ"/>
        </w:rPr>
        <w:t xml:space="preserve">A cet effet, il est question </w:t>
      </w:r>
      <w:r w:rsidRPr="0078715E">
        <w:rPr>
          <w:rFonts w:cs="Calibri"/>
          <w:color w:val="000000"/>
          <w:sz w:val="24"/>
          <w:szCs w:val="24"/>
        </w:rPr>
        <w:t xml:space="preserve">d'une part, de la prise en charge des contraintes majeures (érosion hydrique, augmentation de la salinité du sol et son appauvrissement, lutte contre les feux de forêts) et d'autre part, l'exploitation des potentialités disponibles, à travers notamment la promotion d’une agriculture biologique, la préservation et la revalorisation de la biodiversité locale, l'exploitation raisonnée des ressources végétales et animales, </w:t>
      </w:r>
      <w:r w:rsidRPr="0078715E">
        <w:rPr>
          <w:rFonts w:cs="Calibri"/>
          <w:sz w:val="24"/>
          <w:szCs w:val="24"/>
          <w:lang w:bidi="ar-DZ"/>
        </w:rPr>
        <w:t>l</w:t>
      </w:r>
      <w:r w:rsidRPr="0078715E">
        <w:rPr>
          <w:rFonts w:cs="Calibri"/>
          <w:color w:val="000000"/>
          <w:sz w:val="24"/>
          <w:szCs w:val="24"/>
        </w:rPr>
        <w:t xml:space="preserve">'encouragement des économies territoriales, la </w:t>
      </w:r>
      <w:r w:rsidRPr="0078715E">
        <w:rPr>
          <w:rFonts w:cs="Calibri"/>
          <w:sz w:val="24"/>
          <w:szCs w:val="24"/>
        </w:rPr>
        <w:t>lutte contre la désertification, la gestion rationnelle des ressources en eaux</w:t>
      </w:r>
      <w:r w:rsidRPr="0078715E">
        <w:rPr>
          <w:rFonts w:cs="Calibri"/>
          <w:color w:val="000000"/>
          <w:sz w:val="24"/>
          <w:szCs w:val="24"/>
        </w:rPr>
        <w:t xml:space="preserve">, le reboisement et la plantation d’espèces nouvelles répondant à la contrainte des changements climatiques, </w:t>
      </w:r>
      <w:r w:rsidRPr="0078715E">
        <w:rPr>
          <w:rFonts w:cs="Calibri"/>
          <w:sz w:val="24"/>
          <w:szCs w:val="24"/>
        </w:rPr>
        <w:t>la réhabilitation et la consolidation du barrage vert,</w:t>
      </w:r>
      <w:r w:rsidRPr="0078715E">
        <w:rPr>
          <w:rFonts w:cs="Calibri"/>
          <w:color w:val="000000"/>
          <w:sz w:val="24"/>
          <w:szCs w:val="24"/>
        </w:rPr>
        <w:t xml:space="preserve"> la valorisation des produits du terroir et des activités connexes et la promotion des savoirs et savoir-faire traditionnels.</w:t>
      </w:r>
    </w:p>
    <w:p w:rsidR="0078715E" w:rsidRPr="0078715E" w:rsidRDefault="0078715E" w:rsidP="0078715E">
      <w:pPr>
        <w:spacing w:before="120" w:after="120" w:line="240" w:lineRule="auto"/>
        <w:jc w:val="both"/>
        <w:rPr>
          <w:rFonts w:cs="Calibri"/>
          <w:sz w:val="24"/>
          <w:szCs w:val="24"/>
          <w:lang w:bidi="ar-DZ"/>
        </w:rPr>
      </w:pPr>
      <w:r w:rsidRPr="0078715E">
        <w:rPr>
          <w:rFonts w:cs="Calibri"/>
          <w:sz w:val="24"/>
          <w:szCs w:val="24"/>
          <w:lang w:bidi="ar-DZ"/>
        </w:rPr>
        <w:t>C'est à ce titre, que l'on enregistre:</w:t>
      </w:r>
    </w:p>
    <w:p w:rsidR="0078715E" w:rsidRPr="0078715E" w:rsidRDefault="0078715E" w:rsidP="0078715E">
      <w:pPr>
        <w:pStyle w:val="ListParagraph"/>
        <w:numPr>
          <w:ilvl w:val="0"/>
          <w:numId w:val="13"/>
        </w:numPr>
        <w:spacing w:before="120" w:after="120" w:line="240" w:lineRule="auto"/>
        <w:contextualSpacing w:val="0"/>
        <w:jc w:val="both"/>
        <w:rPr>
          <w:rFonts w:cs="Calibri"/>
          <w:sz w:val="24"/>
          <w:szCs w:val="24"/>
          <w:lang w:bidi="ar-DZ"/>
        </w:rPr>
      </w:pPr>
      <w:r w:rsidRPr="0078715E">
        <w:rPr>
          <w:rFonts w:cs="Calibri"/>
          <w:sz w:val="24"/>
          <w:szCs w:val="24"/>
          <w:lang w:bidi="ar-DZ"/>
        </w:rPr>
        <w:t>l</w:t>
      </w:r>
      <w:r w:rsidRPr="0078715E">
        <w:rPr>
          <w:rFonts w:cs="Calibri"/>
          <w:bCs/>
          <w:color w:val="000000"/>
          <w:sz w:val="24"/>
          <w:szCs w:val="24"/>
        </w:rPr>
        <w:t>a mise en défens de plus de 3,2 millions d’hectares dans le cadre du programme de la réhabilitation et de restauration des parcours steppiques;</w:t>
      </w:r>
    </w:p>
    <w:p w:rsidR="0078715E" w:rsidRPr="0078715E" w:rsidRDefault="0078715E" w:rsidP="0078715E">
      <w:pPr>
        <w:pStyle w:val="ListParagraph"/>
        <w:numPr>
          <w:ilvl w:val="0"/>
          <w:numId w:val="13"/>
        </w:numPr>
        <w:spacing w:before="120" w:after="120" w:line="240" w:lineRule="auto"/>
        <w:contextualSpacing w:val="0"/>
        <w:jc w:val="both"/>
        <w:rPr>
          <w:rFonts w:cs="Calibri"/>
          <w:bCs/>
          <w:color w:val="000000"/>
          <w:sz w:val="24"/>
          <w:szCs w:val="24"/>
        </w:rPr>
      </w:pPr>
      <w:r w:rsidRPr="0078715E">
        <w:rPr>
          <w:rFonts w:cs="Calibri"/>
          <w:bCs/>
          <w:color w:val="000000"/>
          <w:sz w:val="24"/>
          <w:szCs w:val="24"/>
        </w:rPr>
        <w:t xml:space="preserve">L'extension des superficies irriguées avec une utilisation rationnelle de l’eau, le développement des systèmes d’irrigation économiseurs, la reconversion des systèmes gravitaires existants en systèmes économiseurs d’eau et l'utilisation des eaux non conventionnelles. La superficie irriguée est passé de 1.119.258 hectares en 2013 à 1.425.986 hectares en 2019, l’aspersion et leu goutte-à-goutte sur </w:t>
      </w:r>
      <w:r w:rsidRPr="0078715E">
        <w:rPr>
          <w:rFonts w:cs="Calibri"/>
          <w:b/>
          <w:color w:val="000000"/>
          <w:sz w:val="24"/>
          <w:szCs w:val="24"/>
          <w:rtl/>
        </w:rPr>
        <w:t>757</w:t>
      </w:r>
      <w:r w:rsidRPr="0078715E">
        <w:rPr>
          <w:rFonts w:cs="Calibri"/>
          <w:b/>
          <w:color w:val="000000"/>
          <w:sz w:val="24"/>
          <w:szCs w:val="24"/>
        </w:rPr>
        <w:t>.</w:t>
      </w:r>
      <w:r w:rsidRPr="0078715E">
        <w:rPr>
          <w:rFonts w:cs="Calibri"/>
          <w:b/>
          <w:color w:val="000000"/>
          <w:sz w:val="24"/>
          <w:szCs w:val="24"/>
          <w:rtl/>
        </w:rPr>
        <w:t>494</w:t>
      </w:r>
      <w:r w:rsidRPr="0078715E">
        <w:rPr>
          <w:rFonts w:cs="Calibri"/>
          <w:bCs/>
          <w:color w:val="000000"/>
          <w:sz w:val="24"/>
          <w:szCs w:val="24"/>
        </w:rPr>
        <w:t xml:space="preserve"> hectares, soit </w:t>
      </w:r>
      <w:r w:rsidRPr="0078715E">
        <w:rPr>
          <w:rFonts w:cs="Calibri"/>
          <w:bCs/>
          <w:color w:val="000000"/>
          <w:sz w:val="24"/>
          <w:szCs w:val="24"/>
        </w:rPr>
        <w:lastRenderedPageBreak/>
        <w:t>plus de 57 % de la superficie irriguée totale,  et l’exploitation des eaux usées purifiées avec l’irrigation en 2019 de 12.500 hectares à partir des STEP et lagunes en exploitation.</w:t>
      </w:r>
    </w:p>
    <w:p w:rsidR="0078715E" w:rsidRPr="0078715E" w:rsidRDefault="0078715E" w:rsidP="0078715E">
      <w:pPr>
        <w:spacing w:before="120" w:after="120" w:line="240" w:lineRule="auto"/>
        <w:ind w:left="360"/>
        <w:jc w:val="both"/>
        <w:rPr>
          <w:rFonts w:cs="Calibri"/>
          <w:bCs/>
          <w:color w:val="000000"/>
          <w:sz w:val="24"/>
          <w:szCs w:val="24"/>
        </w:rPr>
      </w:pPr>
      <w:r w:rsidRPr="0078715E">
        <w:rPr>
          <w:rFonts w:cs="Calibri"/>
          <w:bCs/>
          <w:color w:val="000000"/>
          <w:sz w:val="24"/>
          <w:szCs w:val="24"/>
        </w:rPr>
        <w:t>La superficie équipée en systèmes économiseurs d’eau, est passée de 518.504 hectares en 2013 à 887.599 hectares à fin 2019 soit 63% de la superficie irriguée;</w:t>
      </w:r>
    </w:p>
    <w:p w:rsidR="0078715E" w:rsidRPr="0078715E" w:rsidRDefault="0078715E" w:rsidP="0078715E">
      <w:pPr>
        <w:pStyle w:val="ListParagraph"/>
        <w:numPr>
          <w:ilvl w:val="0"/>
          <w:numId w:val="12"/>
        </w:numPr>
        <w:spacing w:before="120" w:after="120" w:line="240" w:lineRule="auto"/>
        <w:contextualSpacing w:val="0"/>
        <w:jc w:val="both"/>
        <w:rPr>
          <w:rFonts w:cs="Calibri"/>
          <w:bCs/>
          <w:color w:val="000000"/>
          <w:sz w:val="24"/>
          <w:szCs w:val="24"/>
        </w:rPr>
      </w:pPr>
      <w:r w:rsidRPr="0078715E">
        <w:rPr>
          <w:rFonts w:cs="Calibri"/>
          <w:bCs/>
          <w:color w:val="000000"/>
          <w:sz w:val="24"/>
          <w:szCs w:val="24"/>
        </w:rPr>
        <w:t xml:space="preserve">A fin 2018, on enregistre la réalisation d’un linéaire cumulé de 7.374 km en électrification agricole pour le raccordement des points d’eau et infrastructures des exploitations agricoles, l'équipement en systèmes de pompage (solaires, éoliens et Groupe Moto Pompes) de 507 points d’eau (forages et puits) au niveau des 10 wilayas, la réalisation de 17.099 mètres linéaires et de 846 unités de points d'eau (forages, puits agricoles) destinés à l'irrigation dans les zones agricoles et à l’abreuvement du cheptel dans 11 wilayas, la réalisation et la réhabilitation d’un linéaire de 565 km en réseaux de drainage pour la préservation des sols contre la salinité dans 03 wilayas du sud; </w:t>
      </w:r>
    </w:p>
    <w:p w:rsidR="0078715E" w:rsidRPr="0078715E" w:rsidRDefault="0078715E" w:rsidP="0078715E">
      <w:pPr>
        <w:pStyle w:val="ListParagraph"/>
        <w:numPr>
          <w:ilvl w:val="0"/>
          <w:numId w:val="12"/>
        </w:numPr>
        <w:spacing w:before="120" w:after="120" w:line="240" w:lineRule="auto"/>
        <w:contextualSpacing w:val="0"/>
        <w:jc w:val="both"/>
        <w:rPr>
          <w:rFonts w:cs="Calibri"/>
          <w:bCs/>
          <w:color w:val="000000"/>
          <w:sz w:val="24"/>
          <w:szCs w:val="24"/>
        </w:rPr>
      </w:pPr>
      <w:r w:rsidRPr="0078715E">
        <w:rPr>
          <w:rFonts w:cs="Calibri"/>
          <w:bCs/>
          <w:color w:val="000000"/>
          <w:sz w:val="24"/>
          <w:szCs w:val="24"/>
        </w:rPr>
        <w:t>La réalisation et l'aménagement, à fin 2018, de 1.262 km de pistes agricoles pour le désenclavement et l’accession dans les zones de mise en valeur dans 08 wilayas et de plus de 7.300 km de piste de désenclavement rural;</w:t>
      </w:r>
    </w:p>
    <w:p w:rsidR="0078715E" w:rsidRPr="0078715E" w:rsidRDefault="0078715E" w:rsidP="0078715E">
      <w:pPr>
        <w:pStyle w:val="ListParagraph"/>
        <w:numPr>
          <w:ilvl w:val="0"/>
          <w:numId w:val="12"/>
        </w:numPr>
        <w:spacing w:before="120" w:after="120" w:line="240" w:lineRule="auto"/>
        <w:contextualSpacing w:val="0"/>
        <w:jc w:val="both"/>
        <w:rPr>
          <w:rFonts w:cs="Calibri"/>
          <w:bCs/>
          <w:color w:val="000000"/>
          <w:sz w:val="24"/>
          <w:szCs w:val="24"/>
        </w:rPr>
      </w:pPr>
      <w:r w:rsidRPr="0078715E">
        <w:rPr>
          <w:rFonts w:cs="Calibri"/>
          <w:bCs/>
          <w:color w:val="000000"/>
          <w:sz w:val="24"/>
          <w:szCs w:val="24"/>
        </w:rPr>
        <w:t>La plantation dans le cadre du Plan national de reboisement sur 810.000 hectares et la fixation de 4.100 hectares de dunes menaçantes au niveau de l’aire du barrage vert, ainsi qu'une intervention sur les nappes alfatières et les parcours qui a combiné des plantations pastorales sur près de 14.900 hectares et une mise en défens sur 72.000 hectares ;</w:t>
      </w:r>
    </w:p>
    <w:p w:rsidR="0078715E" w:rsidRPr="0078715E" w:rsidRDefault="0078715E" w:rsidP="0078715E">
      <w:pPr>
        <w:pStyle w:val="ListParagraph"/>
        <w:numPr>
          <w:ilvl w:val="0"/>
          <w:numId w:val="12"/>
        </w:numPr>
        <w:spacing w:before="120" w:after="120" w:line="240" w:lineRule="auto"/>
        <w:contextualSpacing w:val="0"/>
        <w:jc w:val="both"/>
        <w:rPr>
          <w:rFonts w:cs="Calibri"/>
          <w:bCs/>
          <w:color w:val="000000"/>
          <w:sz w:val="24"/>
          <w:szCs w:val="24"/>
        </w:rPr>
      </w:pPr>
      <w:r w:rsidRPr="0078715E">
        <w:rPr>
          <w:rFonts w:cs="Calibri"/>
          <w:bCs/>
          <w:color w:val="000000"/>
          <w:sz w:val="24"/>
          <w:szCs w:val="24"/>
        </w:rPr>
        <w:t>Le traitement de 66 bassins versants en amont d’ouvrages hydrauliques sur un objectif de 107 par la réalisation de travaux de défense et restauration des sols (correction torrentielle, fixation de berges, cordons de pierres et murettes) et la plantation de 89.000 hectares, avec un taux d’avancement de 84% en 2018;</w:t>
      </w:r>
    </w:p>
    <w:p w:rsidR="0078715E" w:rsidRPr="0078715E" w:rsidRDefault="0078715E" w:rsidP="0078715E">
      <w:pPr>
        <w:pStyle w:val="ListParagraph"/>
        <w:numPr>
          <w:ilvl w:val="0"/>
          <w:numId w:val="12"/>
        </w:numPr>
        <w:spacing w:before="120" w:after="120" w:line="240" w:lineRule="auto"/>
        <w:contextualSpacing w:val="0"/>
        <w:jc w:val="both"/>
        <w:rPr>
          <w:rFonts w:cs="Calibri"/>
          <w:bCs/>
          <w:color w:val="000000"/>
          <w:sz w:val="24"/>
          <w:szCs w:val="24"/>
        </w:rPr>
      </w:pPr>
      <w:r w:rsidRPr="0078715E">
        <w:rPr>
          <w:rFonts w:cs="Calibri"/>
          <w:bCs/>
          <w:color w:val="000000"/>
          <w:sz w:val="24"/>
          <w:szCs w:val="24"/>
        </w:rPr>
        <w:t>La mise en valeur de plus de 2.600 hectares complétés par des travaux de conservation des eaux et des sols par la réalisation d’environ 1,2 million de m</w:t>
      </w:r>
      <w:r w:rsidRPr="0078715E">
        <w:rPr>
          <w:rFonts w:cs="Calibri"/>
          <w:bCs/>
          <w:color w:val="000000"/>
          <w:sz w:val="24"/>
          <w:szCs w:val="24"/>
          <w:vertAlign w:val="superscript"/>
        </w:rPr>
        <w:t>3</w:t>
      </w:r>
      <w:r w:rsidRPr="0078715E">
        <w:rPr>
          <w:rFonts w:cs="Calibri"/>
          <w:bCs/>
          <w:color w:val="000000"/>
          <w:sz w:val="24"/>
          <w:szCs w:val="24"/>
        </w:rPr>
        <w:t xml:space="preserve"> de correction torrentielle ainsi que 1.200 hectares de fixation de berges ;</w:t>
      </w:r>
    </w:p>
    <w:p w:rsidR="0078715E" w:rsidRPr="0078715E" w:rsidRDefault="0078715E" w:rsidP="0078715E">
      <w:pPr>
        <w:pStyle w:val="ListParagraph"/>
        <w:numPr>
          <w:ilvl w:val="0"/>
          <w:numId w:val="12"/>
        </w:numPr>
        <w:spacing w:before="120" w:after="120" w:line="240" w:lineRule="auto"/>
        <w:contextualSpacing w:val="0"/>
        <w:jc w:val="both"/>
        <w:rPr>
          <w:rFonts w:cs="Calibri"/>
          <w:bCs/>
          <w:color w:val="000000"/>
          <w:sz w:val="24"/>
          <w:szCs w:val="24"/>
        </w:rPr>
      </w:pPr>
      <w:r w:rsidRPr="0078715E">
        <w:rPr>
          <w:rFonts w:cs="Calibri"/>
          <w:bCs/>
          <w:color w:val="000000"/>
          <w:sz w:val="24"/>
          <w:szCs w:val="24"/>
        </w:rPr>
        <w:t>La concrétisation de 11.943 projets de proximité de développement rural intégrés (PPDRI), comprenant des actions intersectorielles et intégrées, qui ont concernés  plus d’un million de ménages ruraux, toutes catégories et sans distinction entre hommes et femmes,  à travers plus de 10.400 localités situées dans 1.400 communes. Un taux de réalisation de 98% de l’objectif arrêté à l'horizon 2014 et où la plantation fruitière rustique et les unités d'élevage familial, ont dominés la partie agricole;</w:t>
      </w:r>
    </w:p>
    <w:p w:rsidR="0078715E" w:rsidRPr="0078715E" w:rsidRDefault="0078715E" w:rsidP="0078715E">
      <w:pPr>
        <w:pStyle w:val="ListParagraph"/>
        <w:numPr>
          <w:ilvl w:val="0"/>
          <w:numId w:val="12"/>
        </w:numPr>
        <w:spacing w:before="120" w:after="120" w:line="240" w:lineRule="auto"/>
        <w:contextualSpacing w:val="0"/>
        <w:jc w:val="both"/>
        <w:rPr>
          <w:rFonts w:cs="Calibri"/>
          <w:bCs/>
          <w:color w:val="000000"/>
          <w:sz w:val="24"/>
          <w:szCs w:val="24"/>
        </w:rPr>
      </w:pPr>
      <w:r w:rsidRPr="0078715E">
        <w:rPr>
          <w:rFonts w:cs="Calibri"/>
          <w:bCs/>
          <w:color w:val="000000"/>
          <w:sz w:val="24"/>
          <w:szCs w:val="24"/>
        </w:rPr>
        <w:t>L’intégration des énergies renouvelables dans le développement agricole durable et notamment l’octroi de 5000 kits d’énergie renouvelable dans l’objectif de réduire la pression sur les ressources naturelles, notamment le bois de chauffage;</w:t>
      </w:r>
    </w:p>
    <w:p w:rsidR="0078715E" w:rsidRPr="0078715E" w:rsidRDefault="0078715E" w:rsidP="0078715E">
      <w:pPr>
        <w:pStyle w:val="ListParagraph"/>
        <w:numPr>
          <w:ilvl w:val="0"/>
          <w:numId w:val="12"/>
        </w:numPr>
        <w:spacing w:before="120" w:after="120" w:line="240" w:lineRule="auto"/>
        <w:contextualSpacing w:val="0"/>
        <w:jc w:val="both"/>
        <w:rPr>
          <w:rFonts w:cs="Calibri"/>
          <w:bCs/>
          <w:color w:val="000000"/>
          <w:sz w:val="24"/>
          <w:szCs w:val="24"/>
        </w:rPr>
      </w:pPr>
      <w:r w:rsidRPr="0078715E">
        <w:rPr>
          <w:rFonts w:cs="Calibri"/>
          <w:bCs/>
          <w:color w:val="000000"/>
          <w:sz w:val="24"/>
          <w:szCs w:val="24"/>
        </w:rPr>
        <w:t>La mise en œuvre de programmes d’expérimentation relatifs au développement de l’agriculture biologique appliquée et le soutien à l’organisation et à la création de pôle agro-alimentaire; ainsi que la mise en valeur des ressources biologiques locales en coopération avec la population rurale, notamment l’implication de la femme rurale, pour trois filières (apiculture, huile de lentisque et plantes aromatiques et médicinales), avec la création de 5 coopératives dans deux wilayas pilotes (Annaba et El Tarf);</w:t>
      </w:r>
    </w:p>
    <w:p w:rsidR="0078715E" w:rsidRPr="0078715E" w:rsidRDefault="0078715E" w:rsidP="0078715E">
      <w:pPr>
        <w:pStyle w:val="ListParagraph"/>
        <w:numPr>
          <w:ilvl w:val="0"/>
          <w:numId w:val="12"/>
        </w:numPr>
        <w:spacing w:before="120" w:after="120" w:line="240" w:lineRule="auto"/>
        <w:contextualSpacing w:val="0"/>
        <w:jc w:val="both"/>
        <w:rPr>
          <w:rFonts w:cs="Calibri"/>
          <w:bCs/>
          <w:color w:val="000000"/>
          <w:sz w:val="24"/>
          <w:szCs w:val="24"/>
        </w:rPr>
      </w:pPr>
      <w:r w:rsidRPr="0078715E">
        <w:rPr>
          <w:rFonts w:cs="Calibri"/>
          <w:bCs/>
          <w:color w:val="000000"/>
          <w:sz w:val="24"/>
          <w:szCs w:val="24"/>
        </w:rPr>
        <w:lastRenderedPageBreak/>
        <w:t>La réhabilitation de quatre espèces animales menacées de disparition sur les 23 répertoriées (cerf de Berbérie, mouflon à manchettes, gazelle de cuvier et outarde Houbara), la mise en place de trois plans d’actions urgentes pour la conservation du singe magot, le guépard et la gazelle de Cuvier et le renforcement de la lutte contre le braconnage des animaux sauvages;</w:t>
      </w:r>
    </w:p>
    <w:p w:rsidR="0078715E" w:rsidRPr="0078715E" w:rsidRDefault="0078715E" w:rsidP="0078715E">
      <w:pPr>
        <w:pStyle w:val="ListParagraph"/>
        <w:numPr>
          <w:ilvl w:val="0"/>
          <w:numId w:val="12"/>
        </w:numPr>
        <w:spacing w:before="120" w:after="120" w:line="240" w:lineRule="auto"/>
        <w:contextualSpacing w:val="0"/>
        <w:jc w:val="both"/>
        <w:rPr>
          <w:rFonts w:cs="Calibri"/>
          <w:bCs/>
          <w:color w:val="000000"/>
          <w:sz w:val="24"/>
          <w:szCs w:val="24"/>
        </w:rPr>
      </w:pPr>
      <w:r w:rsidRPr="0078715E">
        <w:rPr>
          <w:rFonts w:cs="Calibri"/>
          <w:bCs/>
          <w:color w:val="000000"/>
          <w:sz w:val="24"/>
          <w:szCs w:val="24"/>
        </w:rPr>
        <w:t>Le renforcement du réseau des aires protégées du domaine forrestier, à travers la création du 9</w:t>
      </w:r>
      <w:r w:rsidRPr="0078715E">
        <w:rPr>
          <w:rFonts w:cs="Calibri"/>
          <w:bCs/>
          <w:color w:val="000000"/>
          <w:sz w:val="24"/>
          <w:szCs w:val="24"/>
          <w:vertAlign w:val="superscript"/>
        </w:rPr>
        <w:t>e</w:t>
      </w:r>
      <w:r w:rsidRPr="0078715E">
        <w:rPr>
          <w:rFonts w:cs="Calibri"/>
          <w:bCs/>
          <w:color w:val="000000"/>
          <w:sz w:val="24"/>
          <w:szCs w:val="24"/>
        </w:rPr>
        <w:t xml:space="preserve"> Parc National, celui de "Babor-Tababort" (Wilayas de Sétif, Bejaia et Jijel), s'étalant sur une superficie de 23.656 hectares, ainsi que la 1ére  Réserve Naturelle de Cap Lindles (Wilaya d’Oran) qui comprend une partie terrestre et une partie marine, comptant au total 5.915 hectares.</w:t>
      </w:r>
    </w:p>
    <w:p w:rsidR="0078715E" w:rsidRPr="0078715E" w:rsidRDefault="0078715E" w:rsidP="0078715E">
      <w:pPr>
        <w:spacing w:before="120" w:after="120" w:line="240" w:lineRule="auto"/>
        <w:ind w:left="360"/>
        <w:jc w:val="both"/>
        <w:rPr>
          <w:rFonts w:cs="Calibri"/>
          <w:bCs/>
          <w:color w:val="000000"/>
          <w:sz w:val="24"/>
          <w:szCs w:val="24"/>
        </w:rPr>
      </w:pPr>
      <w:r w:rsidRPr="0078715E">
        <w:rPr>
          <w:rFonts w:cs="Calibri"/>
          <w:bCs/>
          <w:color w:val="000000"/>
          <w:sz w:val="24"/>
          <w:szCs w:val="24"/>
        </w:rPr>
        <w:t>Ainsi, le classement en aires protégées opéré totalise 194.932 hectares en 2019, contre 165.361 hectares en 2013.</w:t>
      </w:r>
    </w:p>
    <w:p w:rsidR="000003BE" w:rsidRPr="0078715E" w:rsidRDefault="0078715E" w:rsidP="0078715E">
      <w:pPr>
        <w:jc w:val="both"/>
        <w:rPr>
          <w:rFonts w:cs="Calibri"/>
          <w:sz w:val="24"/>
          <w:szCs w:val="24"/>
        </w:rPr>
      </w:pPr>
      <w:r w:rsidRPr="0078715E">
        <w:rPr>
          <w:rFonts w:cs="Calibri"/>
          <w:sz w:val="24"/>
          <w:szCs w:val="24"/>
        </w:rPr>
        <w:t>L</w:t>
      </w:r>
      <w:r w:rsidR="000003BE" w:rsidRPr="0078715E">
        <w:rPr>
          <w:rFonts w:cs="Calibri"/>
          <w:sz w:val="24"/>
          <w:szCs w:val="24"/>
        </w:rPr>
        <w:t>a politique nationale de l’Aménagement et du développement durable</w:t>
      </w:r>
      <w:r w:rsidRPr="0078715E">
        <w:rPr>
          <w:rFonts w:cs="Calibri"/>
          <w:sz w:val="24"/>
          <w:szCs w:val="24"/>
        </w:rPr>
        <w:t xml:space="preserve">, en Algérie, </w:t>
      </w:r>
      <w:r w:rsidR="000003BE" w:rsidRPr="0078715E">
        <w:rPr>
          <w:rFonts w:cs="Calibri"/>
          <w:sz w:val="24"/>
          <w:szCs w:val="24"/>
        </w:rPr>
        <w:t xml:space="preserve"> est encadré par les lois</w:t>
      </w:r>
      <w:r w:rsidR="007E638F">
        <w:rPr>
          <w:rFonts w:cs="Calibri"/>
          <w:sz w:val="24"/>
          <w:szCs w:val="24"/>
        </w:rPr>
        <w:t>,</w:t>
      </w:r>
      <w:r w:rsidR="000003BE" w:rsidRPr="0078715E">
        <w:rPr>
          <w:rFonts w:cs="Calibri"/>
          <w:sz w:val="24"/>
          <w:szCs w:val="24"/>
        </w:rPr>
        <w:t xml:space="preserve"> 01-20 et 10-02 respectivement du 12 décembre 2001 et du 29 juin 2010.</w:t>
      </w:r>
    </w:p>
    <w:p w:rsidR="000003BE" w:rsidRPr="0078715E" w:rsidRDefault="000003BE" w:rsidP="00FD0B90">
      <w:pPr>
        <w:jc w:val="both"/>
        <w:rPr>
          <w:rFonts w:cs="Calibri"/>
          <w:sz w:val="24"/>
          <w:szCs w:val="24"/>
        </w:rPr>
      </w:pPr>
      <w:r w:rsidRPr="0078715E">
        <w:rPr>
          <w:rFonts w:cs="Calibri"/>
          <w:sz w:val="24"/>
          <w:szCs w:val="24"/>
        </w:rPr>
        <w:t>Le développement et l’aménagement durable du territoire est un instrument de l’unité nationale, qui intègre, outre les objectifs de développement économique, social et culturel, les impératifs de souveraineté nationale et de défense du territoire</w:t>
      </w:r>
    </w:p>
    <w:p w:rsidR="000003BE" w:rsidRPr="0078715E" w:rsidRDefault="000003BE" w:rsidP="00FD0B90">
      <w:pPr>
        <w:jc w:val="both"/>
        <w:rPr>
          <w:rFonts w:cs="Calibri"/>
          <w:sz w:val="24"/>
          <w:szCs w:val="24"/>
        </w:rPr>
      </w:pPr>
      <w:r w:rsidRPr="0078715E">
        <w:rPr>
          <w:rFonts w:cs="Calibri"/>
          <w:sz w:val="24"/>
          <w:szCs w:val="24"/>
        </w:rPr>
        <w:t>Le Schéma National d’Aménagement du Territoire / SNAT constitue l’instrument stratégique de planification spatiale, dont la mise en œuvre permettra de corriger les déséquilibres et les disparités entre les territoires. Vingt (20) Programmes d’Action Territoriales (PAT) déclinent les quatre lignes directrices. Pour chacun de ses PAT sont développés des objectifs, une stratégie et un programme d’action Stratégie et Plan d’Actions nationaux pour la biodiversité (SPANB) 2016-2030 :</w:t>
      </w:r>
    </w:p>
    <w:p w:rsidR="00026226" w:rsidRDefault="000003BE" w:rsidP="000D20A9">
      <w:pPr>
        <w:jc w:val="both"/>
        <w:rPr>
          <w:rFonts w:cs="Calibri"/>
          <w:sz w:val="24"/>
          <w:szCs w:val="24"/>
        </w:rPr>
      </w:pPr>
      <w:r w:rsidRPr="0078715E">
        <w:rPr>
          <w:rFonts w:cs="Calibri"/>
          <w:sz w:val="24"/>
          <w:szCs w:val="24"/>
        </w:rPr>
        <w:t>En parallèle à ce schéma national d’am</w:t>
      </w:r>
      <w:r w:rsidR="00BA03B9" w:rsidRPr="0078715E">
        <w:rPr>
          <w:rFonts w:cs="Calibri"/>
          <w:sz w:val="24"/>
          <w:szCs w:val="24"/>
        </w:rPr>
        <w:t>énagement du territoire, une s</w:t>
      </w:r>
      <w:r w:rsidRPr="0078715E">
        <w:rPr>
          <w:rFonts w:cs="Calibri"/>
          <w:sz w:val="24"/>
          <w:szCs w:val="24"/>
        </w:rPr>
        <w:t xml:space="preserve">tratégie et un Plan d’action nationaux pour la biodiversité (SPANB) 2016-2030 de l’Algérie a été mise à jour et adaptée à l’évolution des différents contextes en 2016. </w:t>
      </w:r>
    </w:p>
    <w:p w:rsidR="000003BE" w:rsidRDefault="000003BE" w:rsidP="000D20A9">
      <w:pPr>
        <w:jc w:val="both"/>
        <w:rPr>
          <w:rFonts w:cs="Calibri"/>
          <w:sz w:val="24"/>
          <w:szCs w:val="24"/>
        </w:rPr>
      </w:pPr>
      <w:r w:rsidRPr="0078715E">
        <w:rPr>
          <w:rFonts w:cs="Calibri"/>
          <w:sz w:val="24"/>
          <w:szCs w:val="24"/>
        </w:rPr>
        <w:t>Cette Stratégie et Plan d’action nationaux pour la biodiversité 2016-2030, adoptée par le Conseil du gouvernement le 28 mars 2018, considère notamment de manière plus consolidée et étroite les orientations du Schéma National pour l’Aménagement du Territoire (SNAT). Cette stratégie s’inscrit dans la vision de « la biodiversité pour le développement économique et social durable et l’adaptation aux changements climatiques ». A ce titre, ses objectifs ambitionnent de contribuer efficacement à la création de revenus et d’emplois pérennes pour une croissance verte inclusive. Dans cette optique, la SPANB 2016-2030 met l’accent sur la conservation, l’utilisation durable, la restauration et la valorisation de la biodiversité au profit des générations présentes et futures. Cette vision a pour but la pérennisation du capital naturel algérien exceptionnel qui peut être durablement mis au service des besoins socioéconomiques du pays et du bien-être de ses citoyens.</w:t>
      </w:r>
    </w:p>
    <w:p w:rsidR="00A721FD" w:rsidRDefault="00A721FD" w:rsidP="000D20A9">
      <w:pPr>
        <w:jc w:val="both"/>
        <w:rPr>
          <w:rFonts w:cs="Calibri"/>
          <w:sz w:val="24"/>
          <w:szCs w:val="24"/>
        </w:rPr>
      </w:pPr>
    </w:p>
    <w:p w:rsidR="00A721FD" w:rsidRPr="0078715E" w:rsidRDefault="00A721FD" w:rsidP="000D20A9">
      <w:pPr>
        <w:jc w:val="both"/>
        <w:rPr>
          <w:rFonts w:cs="Calibri"/>
          <w:sz w:val="24"/>
          <w:szCs w:val="24"/>
        </w:rPr>
      </w:pPr>
    </w:p>
    <w:p w:rsidR="000003BE" w:rsidRPr="0078715E" w:rsidRDefault="000003BE" w:rsidP="00FD0B90">
      <w:pPr>
        <w:jc w:val="both"/>
        <w:rPr>
          <w:rFonts w:cs="Calibri"/>
          <w:sz w:val="24"/>
          <w:szCs w:val="24"/>
        </w:rPr>
      </w:pPr>
      <w:r w:rsidRPr="0078715E">
        <w:rPr>
          <w:rFonts w:cs="Calibri"/>
          <w:sz w:val="24"/>
          <w:szCs w:val="24"/>
        </w:rPr>
        <w:lastRenderedPageBreak/>
        <w:t xml:space="preserve">Le plan d’action de la SPANB à l’horizon 2030 permettra de renforcer la protection, de promouvoir la valorisation et l’utilisation durable et de consacrer la restauration de la biodiversité. Ces objectifs seront réalisés par l’adaptation du cadre de planification pour freiner le processus de dégradation des milieux naturels et d'érosion de la biodiversité par des actions engagées et coordonnées et dans une seconde phase de restaurer les habitats et les processus dégradés. </w:t>
      </w:r>
    </w:p>
    <w:p w:rsidR="000003BE" w:rsidRPr="008E0A90" w:rsidRDefault="000003BE" w:rsidP="00FD0B90">
      <w:pPr>
        <w:jc w:val="both"/>
        <w:rPr>
          <w:rFonts w:cs="Calibri"/>
          <w:sz w:val="24"/>
          <w:szCs w:val="24"/>
        </w:rPr>
      </w:pPr>
      <w:r w:rsidRPr="008E0A90">
        <w:rPr>
          <w:rFonts w:cs="Calibri"/>
          <w:sz w:val="24"/>
          <w:szCs w:val="24"/>
        </w:rPr>
        <w:t>Le cadre stratégique de cette SPANB comprend 4 orientations stratégiques, qui regroupent 21 objectifs nationaux. Ces objectifs nationaux sont à leur tour déclinés en 113 actions à entreprendre à l'échelle nationale. Les 21 objectifs nationaux de la SPANB contribuent à atteindre les Objectifs d’Aichi pour la biodiversité et également les Objectifs de développement durable à l’horizon 2030.</w:t>
      </w:r>
    </w:p>
    <w:p w:rsidR="000003BE" w:rsidRDefault="000003BE" w:rsidP="005D5987">
      <w:pPr>
        <w:jc w:val="both"/>
        <w:rPr>
          <w:rFonts w:cs="Calibri"/>
          <w:sz w:val="24"/>
          <w:szCs w:val="24"/>
        </w:rPr>
      </w:pPr>
      <w:r w:rsidRPr="008E0A90">
        <w:rPr>
          <w:rFonts w:cs="Calibri"/>
          <w:sz w:val="24"/>
          <w:szCs w:val="24"/>
        </w:rPr>
        <w:t>Ce schéma mis en œuvre par l’Algérie et exécuter durant la période 2013-2019 a permis la préservation d’un pourcentage des terres agricoles placées sous gestion durable à un niveau maximal de 100% et faisant passé le pourcentage des zones terrestres et d’eaux intérieures préservées d’un niveau de 37% en 2013 à 45</w:t>
      </w:r>
      <w:r w:rsidR="005D5987" w:rsidRPr="008E0A90">
        <w:rPr>
          <w:rFonts w:cs="Calibri"/>
          <w:sz w:val="24"/>
          <w:szCs w:val="24"/>
        </w:rPr>
        <w:t>,</w:t>
      </w:r>
      <w:r w:rsidRPr="008E0A90">
        <w:rPr>
          <w:rFonts w:cs="Calibri"/>
          <w:sz w:val="24"/>
          <w:szCs w:val="24"/>
        </w:rPr>
        <w:t>35% en 2019 réalisant ainsi des niveaux de performance de l’indice et du domaine de priorité dépassant les 200%.</w:t>
      </w:r>
    </w:p>
    <w:p w:rsidR="007E638F" w:rsidRPr="007E638F" w:rsidRDefault="007E638F" w:rsidP="005D5987">
      <w:pPr>
        <w:jc w:val="both"/>
        <w:rPr>
          <w:rFonts w:cs="Calibri"/>
          <w:sz w:val="10"/>
          <w:szCs w:val="10"/>
        </w:rPr>
      </w:pPr>
    </w:p>
    <w:p w:rsidR="0064140D" w:rsidRDefault="0064140D" w:rsidP="004720CF">
      <w:pPr>
        <w:rPr>
          <w:b/>
          <w:bCs/>
          <w:sz w:val="24"/>
          <w:szCs w:val="24"/>
        </w:rPr>
      </w:pPr>
      <w:r w:rsidRPr="00AF1562">
        <w:rPr>
          <w:b/>
          <w:bCs/>
          <w:sz w:val="24"/>
          <w:szCs w:val="24"/>
          <w:u w:val="single"/>
        </w:rPr>
        <w:t>ASPIRATION 2</w:t>
      </w:r>
      <w:r w:rsidRPr="001904FC">
        <w:rPr>
          <w:b/>
          <w:bCs/>
          <w:sz w:val="24"/>
          <w:szCs w:val="24"/>
        </w:rPr>
        <w:t> : UN CONTINENT INTEGRE, POLITIQUEMENT UNI, FONDE SUR LES IDEAUX DU PANAFRICANISME ET DE LA VISION DE LA RENAISSANCE DE L’AFRIQUE</w:t>
      </w:r>
    </w:p>
    <w:p w:rsidR="007E638F" w:rsidRPr="007E638F" w:rsidRDefault="007E638F" w:rsidP="004720CF">
      <w:pPr>
        <w:rPr>
          <w:b/>
          <w:bCs/>
          <w:sz w:val="4"/>
          <w:szCs w:val="4"/>
        </w:rPr>
      </w:pPr>
    </w:p>
    <w:p w:rsidR="000003BE" w:rsidRPr="009513E3" w:rsidRDefault="000003BE" w:rsidP="00FD0B90">
      <w:pPr>
        <w:jc w:val="both"/>
        <w:rPr>
          <w:rFonts w:cs="Calibri"/>
          <w:b/>
          <w:bCs/>
          <w:sz w:val="24"/>
          <w:szCs w:val="24"/>
        </w:rPr>
      </w:pPr>
      <w:r w:rsidRPr="007E638F">
        <w:rPr>
          <w:rFonts w:cs="Calibri"/>
          <w:b/>
          <w:bCs/>
          <w:sz w:val="24"/>
          <w:szCs w:val="24"/>
          <w:u w:val="single"/>
        </w:rPr>
        <w:t>Objectif 8</w:t>
      </w:r>
      <w:r w:rsidRPr="009513E3">
        <w:rPr>
          <w:rFonts w:cs="Calibri"/>
          <w:b/>
          <w:bCs/>
          <w:sz w:val="24"/>
          <w:szCs w:val="24"/>
        </w:rPr>
        <w:t xml:space="preserve"> : Une Afrique unies clés (Fédération ou confédérée) </w:t>
      </w:r>
    </w:p>
    <w:p w:rsidR="000003BE" w:rsidRPr="009513E3" w:rsidRDefault="000003BE" w:rsidP="00FD0B90">
      <w:pPr>
        <w:jc w:val="both"/>
        <w:rPr>
          <w:rFonts w:cs="Calibri"/>
          <w:b/>
          <w:bCs/>
          <w:sz w:val="24"/>
          <w:szCs w:val="24"/>
          <w:u w:val="single"/>
        </w:rPr>
      </w:pPr>
      <w:r w:rsidRPr="009513E3">
        <w:rPr>
          <w:rFonts w:cs="Calibri"/>
          <w:b/>
          <w:bCs/>
          <w:sz w:val="24"/>
          <w:szCs w:val="24"/>
          <w:u w:val="single"/>
        </w:rPr>
        <w:t>Intégration politique et économique</w:t>
      </w:r>
    </w:p>
    <w:p w:rsidR="00A54434" w:rsidRPr="008E0A90" w:rsidRDefault="00A54434" w:rsidP="00A54434">
      <w:pPr>
        <w:jc w:val="both"/>
        <w:rPr>
          <w:rFonts w:cs="Calibri"/>
          <w:sz w:val="24"/>
          <w:szCs w:val="24"/>
        </w:rPr>
      </w:pPr>
      <w:r w:rsidRPr="008E0A90">
        <w:rPr>
          <w:rFonts w:cs="Calibri"/>
          <w:sz w:val="24"/>
          <w:szCs w:val="24"/>
        </w:rPr>
        <w:t xml:space="preserve">L’Algérie a poursuivi </w:t>
      </w:r>
      <w:r w:rsidR="00026226">
        <w:rPr>
          <w:rFonts w:cs="Calibri"/>
          <w:sz w:val="24"/>
          <w:szCs w:val="24"/>
        </w:rPr>
        <w:t>sa</w:t>
      </w:r>
      <w:r w:rsidRPr="008E0A90">
        <w:rPr>
          <w:rFonts w:cs="Calibri"/>
          <w:sz w:val="24"/>
          <w:szCs w:val="24"/>
        </w:rPr>
        <w:t xml:space="preserve"> démarche d’intégration régionale en ratifiant l’Accord commercial préférentiel avec la Tunisie qui est entré en vigueur en mars 2014. Soucieuse de développer le partenariat intra-africain dans le cadre de la coopération Sud-Sud, l’Algérie a également signé en 2018 l’Accord établissant la zone de libre-échange continentale africaine afin d’impulser la réduction des barrières commerciales entre pays africains et de promouvoir l’intégration des entreprises africaines dans les chaînes de valeur du continent. </w:t>
      </w:r>
    </w:p>
    <w:p w:rsidR="00AA371D" w:rsidRDefault="00A54434" w:rsidP="00A54434">
      <w:pPr>
        <w:jc w:val="both"/>
        <w:rPr>
          <w:rFonts w:cs="Calibri"/>
          <w:sz w:val="24"/>
          <w:szCs w:val="24"/>
        </w:rPr>
      </w:pPr>
      <w:r w:rsidRPr="008E0A90">
        <w:rPr>
          <w:rFonts w:cs="Calibri"/>
          <w:sz w:val="24"/>
          <w:szCs w:val="24"/>
        </w:rPr>
        <w:t>A fin octobre 2019, les exportations de l’Algérie vers l’Afrique représentaient 6,25% de l’ensemble des exportations contre 5,1% en 2013 soit un indice de performance de 19%. La structure des exportations indique une nette dominance de la destination Maghreb arabe, avec plus de 80% des exportations. Le volume des échanges avec les pays Africains à enregistré une augmentation de près de 4,02% durant les neufs premiers mois de 2019 par rapport aux neuf mois de 2018, en passant de 2,55 milliards USD à 2,66 milliards USD. La mise en œuvre de l’accord de l’établissement de la zone de libre échange continentale Africaine durant les prochaines années, ainsi que le parachèvement de la route transsaharienne (Algérie, Tunisie, Niger, Mali, Nigéria et Tchad) dont le taux de réalisation du côté Algérien avoisine les 100% depuis, ne manqueront pas de booster le niveau des échanges entre les pays africains.</w:t>
      </w:r>
    </w:p>
    <w:p w:rsidR="007E638F" w:rsidRDefault="007E638F" w:rsidP="00A54434">
      <w:pPr>
        <w:jc w:val="both"/>
        <w:rPr>
          <w:rFonts w:cs="Calibri"/>
          <w:sz w:val="24"/>
          <w:szCs w:val="24"/>
        </w:rPr>
      </w:pPr>
    </w:p>
    <w:p w:rsidR="00AA371D" w:rsidRPr="009513E3" w:rsidRDefault="00AC162E" w:rsidP="00FD0B90">
      <w:pPr>
        <w:jc w:val="both"/>
        <w:rPr>
          <w:rFonts w:cs="Calibri"/>
          <w:b/>
          <w:bCs/>
          <w:sz w:val="24"/>
          <w:szCs w:val="24"/>
        </w:rPr>
      </w:pPr>
      <w:r w:rsidRPr="007E638F">
        <w:rPr>
          <w:rFonts w:cs="Calibri"/>
          <w:b/>
          <w:bCs/>
          <w:sz w:val="24"/>
          <w:szCs w:val="24"/>
          <w:u w:val="single"/>
        </w:rPr>
        <w:lastRenderedPageBreak/>
        <w:t>Objectif 9 :</w:t>
      </w:r>
      <w:r w:rsidRPr="009513E3">
        <w:rPr>
          <w:rFonts w:cs="Calibri"/>
          <w:b/>
          <w:bCs/>
          <w:sz w:val="24"/>
          <w:szCs w:val="24"/>
        </w:rPr>
        <w:t xml:space="preserve"> Création et mise en œuvre d’institutions financières et monétaires continentales</w:t>
      </w:r>
    </w:p>
    <w:p w:rsidR="00AC162E" w:rsidRPr="009513E3" w:rsidRDefault="00AC162E" w:rsidP="00E41CA3">
      <w:pPr>
        <w:jc w:val="both"/>
        <w:rPr>
          <w:rFonts w:cs="Calibri"/>
          <w:b/>
          <w:bCs/>
          <w:sz w:val="24"/>
          <w:szCs w:val="24"/>
          <w:u w:val="single"/>
        </w:rPr>
      </w:pPr>
      <w:r w:rsidRPr="009513E3">
        <w:rPr>
          <w:rFonts w:cs="Calibri"/>
          <w:b/>
          <w:bCs/>
          <w:sz w:val="24"/>
          <w:szCs w:val="24"/>
          <w:u w:val="single"/>
        </w:rPr>
        <w:t>Existence d’une zone de libre-échange continentale ratifiée par l’ensemble des états membres</w:t>
      </w:r>
    </w:p>
    <w:p w:rsidR="00A54434" w:rsidRPr="008E0A90" w:rsidRDefault="00A54434" w:rsidP="003F5FAF">
      <w:pPr>
        <w:jc w:val="both"/>
        <w:rPr>
          <w:rFonts w:cs="Calibri"/>
          <w:sz w:val="24"/>
          <w:szCs w:val="24"/>
        </w:rPr>
      </w:pPr>
      <w:r w:rsidRPr="008E0A90">
        <w:rPr>
          <w:rFonts w:cs="Calibri"/>
          <w:sz w:val="24"/>
          <w:szCs w:val="24"/>
        </w:rPr>
        <w:t xml:space="preserve">S’inspirant de son attachement indéfectible au panafricanisme et aux principes d’unité et de solidarité africaine, l'Algérie s’est activement engagée dans le processus d’intégration continentale, à sa tête le projet ambitieux et phare de l’Agenda 2063 de l’UA relatif à la mise en place d’une </w:t>
      </w:r>
      <w:r w:rsidR="003F5FAF">
        <w:rPr>
          <w:rFonts w:cs="Calibri"/>
          <w:sz w:val="24"/>
          <w:szCs w:val="24"/>
        </w:rPr>
        <w:t>Z</w:t>
      </w:r>
      <w:r w:rsidRPr="008E0A90">
        <w:rPr>
          <w:rFonts w:cs="Calibri"/>
          <w:sz w:val="24"/>
          <w:szCs w:val="24"/>
        </w:rPr>
        <w:t xml:space="preserve">one </w:t>
      </w:r>
      <w:r w:rsidR="003F5FAF">
        <w:rPr>
          <w:rFonts w:cs="Calibri"/>
          <w:sz w:val="24"/>
          <w:szCs w:val="24"/>
        </w:rPr>
        <w:t>de Libre échange Continentale  Africaine (ZLECAF)</w:t>
      </w:r>
      <w:r w:rsidRPr="008E0A90">
        <w:rPr>
          <w:rFonts w:cs="Calibri"/>
          <w:sz w:val="24"/>
          <w:szCs w:val="24"/>
        </w:rPr>
        <w:t>.</w:t>
      </w:r>
    </w:p>
    <w:p w:rsidR="00A54434" w:rsidRPr="008E0A90" w:rsidRDefault="00A54434" w:rsidP="003F5FAF">
      <w:pPr>
        <w:jc w:val="both"/>
        <w:rPr>
          <w:rFonts w:cs="Calibri"/>
          <w:sz w:val="24"/>
          <w:szCs w:val="24"/>
        </w:rPr>
      </w:pPr>
      <w:r w:rsidRPr="008E0A90">
        <w:rPr>
          <w:rFonts w:cs="Calibri"/>
          <w:sz w:val="24"/>
          <w:szCs w:val="24"/>
        </w:rPr>
        <w:t>Partant de sa conviction que cette zone marquera une étape cruciale et un pas gigantesque sur le chemin de la renaissance africaine, l’Algérie a participé à tous les rounds du processus de négociations ayant aboutis à la signature de l’Accord sur la Zone de libre-</w:t>
      </w:r>
      <w:r w:rsidR="003F5FAF">
        <w:rPr>
          <w:rFonts w:cs="Calibri"/>
          <w:sz w:val="24"/>
          <w:szCs w:val="24"/>
        </w:rPr>
        <w:t>échange continentale africaine</w:t>
      </w:r>
      <w:r w:rsidR="003F5FAF" w:rsidRPr="003F5FAF">
        <w:rPr>
          <w:rFonts w:cs="Calibri"/>
          <w:sz w:val="24"/>
          <w:szCs w:val="24"/>
        </w:rPr>
        <w:t xml:space="preserve"> </w:t>
      </w:r>
      <w:r w:rsidR="003F5FAF" w:rsidRPr="008E0A90">
        <w:rPr>
          <w:rFonts w:cs="Calibri"/>
          <w:sz w:val="24"/>
          <w:szCs w:val="24"/>
        </w:rPr>
        <w:t>à Kigali (Rwanda)</w:t>
      </w:r>
      <w:r w:rsidR="003F5FAF">
        <w:rPr>
          <w:rFonts w:cs="Calibri"/>
          <w:sz w:val="24"/>
          <w:szCs w:val="24"/>
        </w:rPr>
        <w:t xml:space="preserve"> </w:t>
      </w:r>
      <w:r w:rsidRPr="008E0A90">
        <w:rPr>
          <w:rFonts w:cs="Calibri"/>
          <w:sz w:val="24"/>
          <w:szCs w:val="24"/>
        </w:rPr>
        <w:t>en mars 2018</w:t>
      </w:r>
      <w:r w:rsidR="003F5FAF">
        <w:rPr>
          <w:rFonts w:cs="Calibri"/>
          <w:sz w:val="24"/>
          <w:szCs w:val="24"/>
        </w:rPr>
        <w:t>.</w:t>
      </w:r>
      <w:r w:rsidRPr="008E0A90">
        <w:rPr>
          <w:rFonts w:cs="Calibri"/>
          <w:sz w:val="24"/>
          <w:szCs w:val="24"/>
        </w:rPr>
        <w:t xml:space="preserve"> </w:t>
      </w:r>
    </w:p>
    <w:p w:rsidR="00A54434" w:rsidRPr="008E0A90" w:rsidRDefault="00A54434" w:rsidP="00A54434">
      <w:pPr>
        <w:jc w:val="both"/>
        <w:rPr>
          <w:rFonts w:cs="Calibri"/>
          <w:sz w:val="24"/>
          <w:szCs w:val="24"/>
        </w:rPr>
      </w:pPr>
      <w:r w:rsidRPr="008E0A90">
        <w:rPr>
          <w:rFonts w:cs="Calibri"/>
          <w:sz w:val="24"/>
          <w:szCs w:val="24"/>
        </w:rPr>
        <w:t>L’entrée en vigueur de cet Accord de libre échange permettra, sans aucun doute, à l’Afrique d’accélérer son industrialisation, d’intensifier les échanges interafricains, et d’assurer une croissance inclusive, à même de concrétiser nos objectifs communs de développement, de prospérité et de bien-être collectif.</w:t>
      </w:r>
    </w:p>
    <w:p w:rsidR="00A54434" w:rsidRDefault="00A54434" w:rsidP="00B2279E">
      <w:pPr>
        <w:jc w:val="both"/>
        <w:rPr>
          <w:rFonts w:cs="Calibri"/>
          <w:sz w:val="24"/>
          <w:szCs w:val="24"/>
        </w:rPr>
      </w:pPr>
      <w:r w:rsidRPr="008E0A90">
        <w:rPr>
          <w:rFonts w:cs="Calibri"/>
          <w:sz w:val="24"/>
          <w:szCs w:val="24"/>
        </w:rPr>
        <w:t>C’est dans cet esprit qu’un intérêt particulier a été accordé à l’implication du secteur privé dans ce processus d’intégration, tout en associant les jeunes et les femmes dans l’objectif ultime d’élargir davantage l’accès aux  opportunités économiques offerts par la ZLECAf, en faveur de l’emploi et de la diversification économique.</w:t>
      </w:r>
    </w:p>
    <w:p w:rsidR="005642CC" w:rsidRPr="005642CC" w:rsidRDefault="005642CC" w:rsidP="00D40C6A">
      <w:pPr>
        <w:jc w:val="both"/>
        <w:rPr>
          <w:rFonts w:cs="Calibri"/>
          <w:sz w:val="24"/>
          <w:szCs w:val="24"/>
        </w:rPr>
      </w:pPr>
      <w:r w:rsidRPr="005642CC">
        <w:rPr>
          <w:rFonts w:cs="Calibri"/>
          <w:sz w:val="24"/>
          <w:szCs w:val="24"/>
        </w:rPr>
        <w:t xml:space="preserve">Une conférence nationale sur les enjeux de l’adhésion de l’Algérie à la </w:t>
      </w:r>
      <w:r w:rsidR="00B2279E">
        <w:rPr>
          <w:rFonts w:cs="Calibri"/>
          <w:sz w:val="24"/>
          <w:szCs w:val="24"/>
        </w:rPr>
        <w:t xml:space="preserve">ZLECAF </w:t>
      </w:r>
      <w:r w:rsidRPr="005642CC">
        <w:rPr>
          <w:rFonts w:cs="Calibri"/>
          <w:sz w:val="24"/>
          <w:szCs w:val="24"/>
        </w:rPr>
        <w:t xml:space="preserve">a eu lieu le </w:t>
      </w:r>
      <w:r w:rsidR="00B2279E" w:rsidRPr="005642CC">
        <w:rPr>
          <w:rFonts w:cs="Calibri"/>
          <w:sz w:val="24"/>
          <w:szCs w:val="24"/>
        </w:rPr>
        <w:t>à Alger</w:t>
      </w:r>
      <w:r w:rsidR="00B2279E">
        <w:rPr>
          <w:rFonts w:cs="Calibri"/>
          <w:sz w:val="24"/>
          <w:szCs w:val="24"/>
        </w:rPr>
        <w:t xml:space="preserve">, le </w:t>
      </w:r>
      <w:r w:rsidRPr="005642CC">
        <w:rPr>
          <w:rFonts w:cs="Calibri"/>
          <w:sz w:val="24"/>
          <w:szCs w:val="24"/>
        </w:rPr>
        <w:t>06 octobre 2019, en présence de plusieurs ministres africains et des représentants d’institutions africaines, ainsi que des experts, des universitaires et des acteurs économiques de différents pays.</w:t>
      </w:r>
      <w:r>
        <w:rPr>
          <w:rFonts w:cs="Calibri"/>
          <w:sz w:val="24"/>
          <w:szCs w:val="24"/>
        </w:rPr>
        <w:t xml:space="preserve"> </w:t>
      </w:r>
      <w:r w:rsidRPr="005642CC">
        <w:rPr>
          <w:rFonts w:cs="Calibri"/>
          <w:sz w:val="24"/>
          <w:szCs w:val="24"/>
        </w:rPr>
        <w:t xml:space="preserve">Cette Conférence s’est inscrite dans la confirmation du rôle vital que </w:t>
      </w:r>
      <w:r w:rsidR="00B2279E" w:rsidRPr="005642CC">
        <w:rPr>
          <w:rFonts w:cs="Calibri"/>
          <w:sz w:val="24"/>
          <w:szCs w:val="24"/>
        </w:rPr>
        <w:t xml:space="preserve">joue </w:t>
      </w:r>
      <w:r w:rsidRPr="005642CC">
        <w:rPr>
          <w:rFonts w:cs="Calibri"/>
          <w:sz w:val="24"/>
          <w:szCs w:val="24"/>
        </w:rPr>
        <w:t xml:space="preserve">l’Algérie dans la consolidation de </w:t>
      </w:r>
      <w:r w:rsidR="00D40C6A">
        <w:rPr>
          <w:rFonts w:cs="Calibri"/>
          <w:sz w:val="24"/>
          <w:szCs w:val="24"/>
        </w:rPr>
        <w:t xml:space="preserve">l’intégration économique du </w:t>
      </w:r>
      <w:r w:rsidRPr="005642CC">
        <w:rPr>
          <w:rFonts w:cs="Calibri"/>
          <w:sz w:val="24"/>
          <w:szCs w:val="24"/>
        </w:rPr>
        <w:t>continent africain</w:t>
      </w:r>
      <w:r>
        <w:rPr>
          <w:rFonts w:cs="Calibri"/>
          <w:sz w:val="24"/>
          <w:szCs w:val="24"/>
        </w:rPr>
        <w:t>.</w:t>
      </w:r>
    </w:p>
    <w:p w:rsidR="00A54434" w:rsidRPr="008E0A90" w:rsidRDefault="00A54434" w:rsidP="00A54434">
      <w:pPr>
        <w:jc w:val="both"/>
        <w:rPr>
          <w:rFonts w:cs="Calibri"/>
          <w:sz w:val="24"/>
          <w:szCs w:val="24"/>
        </w:rPr>
      </w:pPr>
      <w:r w:rsidRPr="008E0A90">
        <w:rPr>
          <w:rFonts w:cs="Calibri"/>
          <w:sz w:val="24"/>
          <w:szCs w:val="24"/>
        </w:rPr>
        <w:t>L’Algérie participera à la phase II des négociations de la ZLECAf qui porteront sur les droits de propriétés intellectuelles, l’investissement et la politique de concurrence, en vue de parachever le processus d’intégration africaine, dans l’esprit du Traité d’Abuja de 1991.</w:t>
      </w:r>
    </w:p>
    <w:p w:rsidR="000003BE" w:rsidRPr="009513E3" w:rsidRDefault="000003BE" w:rsidP="00FD0B90">
      <w:pPr>
        <w:jc w:val="both"/>
        <w:rPr>
          <w:rFonts w:cs="Calibri"/>
          <w:b/>
          <w:bCs/>
          <w:sz w:val="24"/>
          <w:szCs w:val="24"/>
        </w:rPr>
      </w:pPr>
      <w:r w:rsidRPr="007E638F">
        <w:rPr>
          <w:rFonts w:cs="Calibri"/>
          <w:b/>
          <w:bCs/>
          <w:sz w:val="24"/>
          <w:szCs w:val="24"/>
          <w:u w:val="single"/>
        </w:rPr>
        <w:t>Objectif 10</w:t>
      </w:r>
      <w:r w:rsidRPr="009513E3">
        <w:rPr>
          <w:rFonts w:cs="Calibri"/>
          <w:b/>
          <w:bCs/>
          <w:sz w:val="24"/>
          <w:szCs w:val="24"/>
        </w:rPr>
        <w:t xml:space="preserve"> : Des infrastructures de classe mondiale dans toute l’Afrique</w:t>
      </w:r>
    </w:p>
    <w:p w:rsidR="000003BE" w:rsidRPr="008E0A90" w:rsidRDefault="000003BE" w:rsidP="00FD0B90">
      <w:pPr>
        <w:jc w:val="both"/>
        <w:rPr>
          <w:rFonts w:cs="Calibri"/>
          <w:sz w:val="24"/>
          <w:szCs w:val="24"/>
        </w:rPr>
      </w:pPr>
      <w:r w:rsidRPr="008E0A90">
        <w:rPr>
          <w:rFonts w:cs="Calibri"/>
          <w:sz w:val="24"/>
          <w:szCs w:val="24"/>
        </w:rPr>
        <w:t>La longueur du réseau routier national s’élève ainsi à environ 128.502 kms, et compte 1</w:t>
      </w:r>
      <w:r w:rsidR="00C42445" w:rsidRPr="008E0A90">
        <w:rPr>
          <w:rFonts w:cs="Calibri"/>
          <w:sz w:val="24"/>
          <w:szCs w:val="24"/>
        </w:rPr>
        <w:t>.</w:t>
      </w:r>
      <w:r w:rsidRPr="008E0A90">
        <w:rPr>
          <w:rFonts w:cs="Calibri"/>
          <w:sz w:val="24"/>
          <w:szCs w:val="24"/>
        </w:rPr>
        <w:t>206 kms d’autoroute Est-Ouest et 4</w:t>
      </w:r>
      <w:r w:rsidR="00C42445" w:rsidRPr="008E0A90">
        <w:rPr>
          <w:rFonts w:cs="Calibri"/>
          <w:sz w:val="24"/>
          <w:szCs w:val="24"/>
        </w:rPr>
        <w:t>.</w:t>
      </w:r>
      <w:r w:rsidRPr="008E0A90">
        <w:rPr>
          <w:rFonts w:cs="Calibri"/>
          <w:sz w:val="24"/>
          <w:szCs w:val="24"/>
        </w:rPr>
        <w:t>200 kms de route express permettant de répondre aux besoins de mobilité des personnes et de faciliter le désenclavement des régions éloignées du pays. Le réseau Algérien est arrivé à un niveau qui facilitera la réalisation des tronçons manquant de l’autoroute transsaharienne. Cette route qui traverse six pays : l’Algérie, la Tunisie, le Niger, le Mali, le Nigeria et le Tchad, sur un linéaire de 9</w:t>
      </w:r>
      <w:r w:rsidR="00C42445" w:rsidRPr="008E0A90">
        <w:rPr>
          <w:rFonts w:cs="Calibri"/>
          <w:sz w:val="24"/>
          <w:szCs w:val="24"/>
        </w:rPr>
        <w:t>.</w:t>
      </w:r>
      <w:r w:rsidRPr="008E0A90">
        <w:rPr>
          <w:rFonts w:cs="Calibri"/>
          <w:sz w:val="24"/>
          <w:szCs w:val="24"/>
        </w:rPr>
        <w:t>500 kms, dont 3</w:t>
      </w:r>
      <w:r w:rsidR="00C42445" w:rsidRPr="008E0A90">
        <w:rPr>
          <w:rFonts w:cs="Calibri"/>
          <w:sz w:val="24"/>
          <w:szCs w:val="24"/>
        </w:rPr>
        <w:t>.</w:t>
      </w:r>
      <w:r w:rsidRPr="008E0A90">
        <w:rPr>
          <w:rFonts w:cs="Calibri"/>
          <w:sz w:val="24"/>
          <w:szCs w:val="24"/>
        </w:rPr>
        <w:t>400 kms sont situés en Algérie</w:t>
      </w:r>
      <w:r w:rsidR="00026226">
        <w:rPr>
          <w:rFonts w:cs="Calibri"/>
          <w:sz w:val="24"/>
          <w:szCs w:val="24"/>
        </w:rPr>
        <w:t>,</w:t>
      </w:r>
      <w:r w:rsidRPr="008E0A90">
        <w:rPr>
          <w:rFonts w:cs="Calibri"/>
          <w:sz w:val="24"/>
          <w:szCs w:val="24"/>
        </w:rPr>
        <w:t xml:space="preserve"> est aujourd’hui totalement achevé</w:t>
      </w:r>
      <w:r w:rsidR="00C42445" w:rsidRPr="008E0A90">
        <w:rPr>
          <w:rFonts w:cs="Calibri"/>
          <w:sz w:val="24"/>
          <w:szCs w:val="24"/>
        </w:rPr>
        <w:t>e</w:t>
      </w:r>
      <w:r w:rsidRPr="008E0A90">
        <w:rPr>
          <w:rFonts w:cs="Calibri"/>
          <w:sz w:val="24"/>
          <w:szCs w:val="24"/>
        </w:rPr>
        <w:t xml:space="preserve"> traduisant ainsi la volonté de l’Algérie de vouloir participer efficacement à l’édification d’une solide infrastructure de classe mondiale en Afrique</w:t>
      </w:r>
    </w:p>
    <w:p w:rsidR="000003BE" w:rsidRPr="008E0A90" w:rsidRDefault="000003BE" w:rsidP="00FD0B90">
      <w:pPr>
        <w:jc w:val="both"/>
        <w:rPr>
          <w:rFonts w:cs="Calibri"/>
          <w:sz w:val="24"/>
          <w:szCs w:val="24"/>
        </w:rPr>
      </w:pPr>
      <w:r w:rsidRPr="008E0A90">
        <w:rPr>
          <w:rFonts w:cs="Calibri"/>
          <w:sz w:val="24"/>
          <w:szCs w:val="24"/>
        </w:rPr>
        <w:lastRenderedPageBreak/>
        <w:t>Le territoire national est doté de 36 aéroports ouverts à la circulation aérienne publique, dont 20 aérodromes internationaux et 16 aérodromes nationaux.</w:t>
      </w:r>
    </w:p>
    <w:p w:rsidR="000003BE" w:rsidRPr="008E0A90" w:rsidRDefault="000003BE" w:rsidP="00FD0B90">
      <w:pPr>
        <w:jc w:val="both"/>
        <w:rPr>
          <w:rFonts w:cs="Calibri"/>
          <w:sz w:val="24"/>
          <w:szCs w:val="24"/>
        </w:rPr>
      </w:pPr>
      <w:r w:rsidRPr="008E0A90">
        <w:rPr>
          <w:rFonts w:cs="Calibri"/>
          <w:sz w:val="24"/>
          <w:szCs w:val="24"/>
        </w:rPr>
        <w:t>Dans le transport ferroviaire, le Gouvernement continuera d’investir pour augmenter l’efficacité du système en place, en termes de fréquence, de durée des déplacements, de confort et de sureté.</w:t>
      </w:r>
    </w:p>
    <w:p w:rsidR="000003BE" w:rsidRPr="009513E3" w:rsidRDefault="000003BE" w:rsidP="00FD0B90">
      <w:pPr>
        <w:jc w:val="both"/>
        <w:rPr>
          <w:rFonts w:cs="Calibri"/>
          <w:b/>
          <w:bCs/>
          <w:sz w:val="24"/>
          <w:szCs w:val="24"/>
          <w:u w:val="single"/>
        </w:rPr>
      </w:pPr>
      <w:r w:rsidRPr="009513E3">
        <w:rPr>
          <w:rFonts w:cs="Calibri"/>
          <w:b/>
          <w:bCs/>
          <w:sz w:val="24"/>
          <w:szCs w:val="24"/>
          <w:u w:val="single"/>
        </w:rPr>
        <w:t>Nombre de mégawat ajoutés au réseau national</w:t>
      </w:r>
    </w:p>
    <w:p w:rsidR="000003BE" w:rsidRPr="008E0A90" w:rsidRDefault="000003BE" w:rsidP="00FD0B90">
      <w:pPr>
        <w:jc w:val="both"/>
        <w:rPr>
          <w:rFonts w:cs="Calibri"/>
          <w:sz w:val="24"/>
          <w:szCs w:val="24"/>
        </w:rPr>
      </w:pPr>
      <w:r w:rsidRPr="008E0A90">
        <w:rPr>
          <w:rFonts w:cs="Calibri"/>
          <w:sz w:val="24"/>
          <w:szCs w:val="24"/>
        </w:rPr>
        <w:t xml:space="preserve">En Algérie, l’énergie électrique est produite à 98% à partir du gaz naturel, ressource primaire propre comparativement aux autres ressources fossiles. Les réalisations opérées depuis plusieurs décennies ont permis de répondre de manière significative à l’évolution des besoins en énergie électrique des populations et des activités à travers le territoire national.  </w:t>
      </w:r>
    </w:p>
    <w:p w:rsidR="000003BE" w:rsidRPr="008E0A90" w:rsidRDefault="000003BE" w:rsidP="00C42445">
      <w:pPr>
        <w:jc w:val="both"/>
        <w:rPr>
          <w:rFonts w:cs="Calibri"/>
          <w:sz w:val="24"/>
          <w:szCs w:val="24"/>
        </w:rPr>
      </w:pPr>
      <w:r w:rsidRPr="008E0A90">
        <w:rPr>
          <w:rFonts w:cs="Calibri"/>
          <w:sz w:val="24"/>
          <w:szCs w:val="24"/>
        </w:rPr>
        <w:t>Ainsi, la capacité installée de l’énergie électrique, tous réseaux confondus, a fortement augmenté pour atteindre à fin 2019 près de 21</w:t>
      </w:r>
      <w:r w:rsidR="00C42445" w:rsidRPr="008E0A90">
        <w:rPr>
          <w:rFonts w:cs="Calibri"/>
          <w:sz w:val="24"/>
          <w:szCs w:val="24"/>
        </w:rPr>
        <w:t>.</w:t>
      </w:r>
      <w:r w:rsidRPr="008E0A90">
        <w:rPr>
          <w:rFonts w:cs="Calibri"/>
          <w:sz w:val="24"/>
          <w:szCs w:val="24"/>
        </w:rPr>
        <w:t>600 MW, contre 15</w:t>
      </w:r>
      <w:r w:rsidR="00C42445" w:rsidRPr="008E0A90">
        <w:rPr>
          <w:rFonts w:cs="Calibri"/>
          <w:sz w:val="24"/>
          <w:szCs w:val="24"/>
        </w:rPr>
        <w:t>.</w:t>
      </w:r>
      <w:r w:rsidRPr="008E0A90">
        <w:rPr>
          <w:rFonts w:cs="Calibri"/>
          <w:sz w:val="24"/>
          <w:szCs w:val="24"/>
        </w:rPr>
        <w:t>097 MW à fin 2013, soit une capacité additionnelle de 6</w:t>
      </w:r>
      <w:r w:rsidR="00C42445" w:rsidRPr="008E0A90">
        <w:rPr>
          <w:rFonts w:cs="Calibri"/>
          <w:sz w:val="24"/>
          <w:szCs w:val="24"/>
        </w:rPr>
        <w:t>.</w:t>
      </w:r>
      <w:r w:rsidRPr="008E0A90">
        <w:rPr>
          <w:rFonts w:cs="Calibri"/>
          <w:sz w:val="24"/>
          <w:szCs w:val="24"/>
        </w:rPr>
        <w:t>500 MW sur la période. Elle était à seulement 5</w:t>
      </w:r>
      <w:r w:rsidR="00C42445" w:rsidRPr="008E0A90">
        <w:rPr>
          <w:rFonts w:cs="Calibri"/>
          <w:sz w:val="24"/>
          <w:szCs w:val="24"/>
        </w:rPr>
        <w:t>.</w:t>
      </w:r>
      <w:r w:rsidRPr="008E0A90">
        <w:rPr>
          <w:rFonts w:cs="Calibri"/>
          <w:sz w:val="24"/>
          <w:szCs w:val="24"/>
        </w:rPr>
        <w:t>900 MW en 2000 réalisant</w:t>
      </w:r>
      <w:r w:rsidR="00C42445" w:rsidRPr="008E0A90">
        <w:rPr>
          <w:rFonts w:cs="Calibri"/>
          <w:sz w:val="24"/>
          <w:szCs w:val="24"/>
        </w:rPr>
        <w:t xml:space="preserve"> un niveau de performance de 24</w:t>
      </w:r>
      <w:r w:rsidRPr="008E0A90">
        <w:rPr>
          <w:rFonts w:cs="Calibri"/>
          <w:sz w:val="24"/>
          <w:szCs w:val="24"/>
        </w:rPr>
        <w:t>%.</w:t>
      </w:r>
    </w:p>
    <w:p w:rsidR="000003BE" w:rsidRPr="008E0A90" w:rsidRDefault="000003BE" w:rsidP="00FD0B90">
      <w:pPr>
        <w:jc w:val="both"/>
        <w:rPr>
          <w:rFonts w:cs="Calibri"/>
          <w:sz w:val="24"/>
          <w:szCs w:val="24"/>
        </w:rPr>
      </w:pPr>
      <w:r w:rsidRPr="008E0A90">
        <w:rPr>
          <w:rFonts w:cs="Calibri"/>
          <w:sz w:val="24"/>
          <w:szCs w:val="24"/>
        </w:rPr>
        <w:t xml:space="preserve">Le développement de ces différentes capacités à travers </w:t>
      </w:r>
      <w:r w:rsidR="005642CC" w:rsidRPr="008E0A90">
        <w:rPr>
          <w:rFonts w:cs="Calibri"/>
          <w:sz w:val="24"/>
          <w:szCs w:val="24"/>
        </w:rPr>
        <w:t>les technologies innovantes</w:t>
      </w:r>
      <w:r w:rsidRPr="008E0A90">
        <w:rPr>
          <w:rFonts w:cs="Calibri"/>
          <w:sz w:val="24"/>
          <w:szCs w:val="24"/>
        </w:rPr>
        <w:t xml:space="preserve"> a induit une forte augmentation de la production nationale d’électricité, qui est passée de 59 TWh en 2013 à près de 77 TWh à fin 2018 (TCAM 5,2%), permettant une satisfaction de la demande énergétique nationale, notamment en période de forte demande en été.</w:t>
      </w:r>
    </w:p>
    <w:p w:rsidR="005B198F" w:rsidRDefault="005B198F" w:rsidP="005B198F">
      <w:pPr>
        <w:jc w:val="both"/>
        <w:rPr>
          <w:rFonts w:cs="Calibri"/>
          <w:sz w:val="24"/>
          <w:szCs w:val="24"/>
        </w:rPr>
      </w:pPr>
      <w:r>
        <w:rPr>
          <w:rFonts w:cs="Calibri"/>
          <w:sz w:val="24"/>
          <w:szCs w:val="24"/>
        </w:rPr>
        <w:t>Dans le cadre de sa stratégie de développement, en général, et de sa politique d’édification d’une société de l’information inclusive, en particulier, l’Algérie œuvre à généraliser l’accès aux technologies de l’information et de télécommunication (TIC) et à l’Internet, ainsi que leur utilisation, partout et pour tous, afin de réduire la fracture numérique et de faire des TIC un levier de croissance et de productivité, générant de la valeur ajoutée pour l’économie de la société.</w:t>
      </w:r>
    </w:p>
    <w:p w:rsidR="005B198F" w:rsidRDefault="005B198F" w:rsidP="005B198F">
      <w:pPr>
        <w:jc w:val="both"/>
        <w:rPr>
          <w:rFonts w:cs="Calibri"/>
          <w:sz w:val="24"/>
          <w:szCs w:val="24"/>
        </w:rPr>
      </w:pPr>
      <w:r>
        <w:rPr>
          <w:rFonts w:cs="Calibri"/>
          <w:sz w:val="24"/>
          <w:szCs w:val="24"/>
        </w:rPr>
        <w:t>A cet effet, le Gouvernement s’est engagé dans un programme ambitieux de renforcement et de sécurisation des réseaux dorsal en fibre optique (backbone), d’une part, et de diversification et de développement des réseaux d’accès, d’autre part ce programme a permis de doter l’Algérie d’infrastructures de télécommunication /TIC, terrestre et spatial, résilientes et pérenne.</w:t>
      </w:r>
    </w:p>
    <w:p w:rsidR="005B198F" w:rsidRDefault="005B198F" w:rsidP="005B198F">
      <w:pPr>
        <w:jc w:val="both"/>
        <w:rPr>
          <w:rFonts w:cs="Calibri"/>
          <w:sz w:val="24"/>
          <w:szCs w:val="24"/>
        </w:rPr>
      </w:pPr>
      <w:r>
        <w:rPr>
          <w:rFonts w:cs="Calibri"/>
          <w:sz w:val="24"/>
          <w:szCs w:val="24"/>
        </w:rPr>
        <w:t>A ce titre, il convient de noter que les principales réalisations dans ce domaine sont :</w:t>
      </w:r>
    </w:p>
    <w:p w:rsidR="005B198F" w:rsidRDefault="005B198F" w:rsidP="005B198F">
      <w:pPr>
        <w:jc w:val="both"/>
        <w:rPr>
          <w:rFonts w:cs="Calibri"/>
          <w:sz w:val="24"/>
          <w:szCs w:val="24"/>
        </w:rPr>
      </w:pPr>
      <w:r>
        <w:rPr>
          <w:rFonts w:cs="Calibri"/>
          <w:sz w:val="24"/>
          <w:szCs w:val="24"/>
        </w:rPr>
        <w:t>Un réseau de transport de fibre optique (backbone) le plus important de la région, dans la longueur dépasse 172.000km exploité, comprenne la partie algérienne de la liaison Alger (Algérie-Zinder</w:t>
      </w:r>
      <w:r w:rsidR="00AF1562">
        <w:rPr>
          <w:rFonts w:cs="Calibri"/>
          <w:sz w:val="24"/>
          <w:szCs w:val="24"/>
        </w:rPr>
        <w:t>(Niger</w:t>
      </w:r>
      <w:r>
        <w:rPr>
          <w:rFonts w:cs="Calibri"/>
          <w:sz w:val="24"/>
          <w:szCs w:val="24"/>
        </w:rPr>
        <w:t>) – Abuja (Nigeria) initié</w:t>
      </w:r>
      <w:r w:rsidR="00AF1562">
        <w:rPr>
          <w:rFonts w:cs="Calibri"/>
          <w:sz w:val="24"/>
          <w:szCs w:val="24"/>
        </w:rPr>
        <w:t>e</w:t>
      </w:r>
      <w:r>
        <w:rPr>
          <w:rFonts w:cs="Calibri"/>
          <w:sz w:val="24"/>
          <w:szCs w:val="24"/>
        </w:rPr>
        <w:t xml:space="preserve"> dans le cadre du NEPAD et réalisé</w:t>
      </w:r>
      <w:r w:rsidR="00AF1562">
        <w:rPr>
          <w:rFonts w:cs="Calibri"/>
          <w:sz w:val="24"/>
          <w:szCs w:val="24"/>
        </w:rPr>
        <w:t>e</w:t>
      </w:r>
      <w:r>
        <w:rPr>
          <w:rFonts w:cs="Calibri"/>
          <w:sz w:val="24"/>
          <w:szCs w:val="24"/>
        </w:rPr>
        <w:t xml:space="preserve"> suivant deux itinéraires design afin d’assurer la continuité du service. Par ailleurs, le backbone national est sécurisé grâce à sa connexion à un système de câble sous-marin à fibre otique, en moyen de liaison réalisé par l’Algérie dont les plus récents sont :</w:t>
      </w:r>
    </w:p>
    <w:p w:rsidR="005B198F" w:rsidRDefault="005B198F" w:rsidP="005B198F">
      <w:pPr>
        <w:jc w:val="both"/>
        <w:rPr>
          <w:rFonts w:cs="Calibri"/>
          <w:sz w:val="24"/>
          <w:szCs w:val="24"/>
        </w:rPr>
      </w:pPr>
      <w:r>
        <w:rPr>
          <w:rFonts w:cs="Calibri"/>
          <w:sz w:val="24"/>
          <w:szCs w:val="24"/>
        </w:rPr>
        <w:t>-Liaison ALVAL reliant Alger (Algérie) à valence et renforçant les liaisons ALPAL 1 et ALPAL 2 reliant Alger(Algérie) à Palma (Espagne) ;</w:t>
      </w:r>
    </w:p>
    <w:p w:rsidR="005B198F" w:rsidRDefault="005B198F" w:rsidP="007E638F">
      <w:pPr>
        <w:jc w:val="both"/>
        <w:rPr>
          <w:rFonts w:cs="Calibri"/>
          <w:sz w:val="24"/>
          <w:szCs w:val="24"/>
        </w:rPr>
      </w:pPr>
      <w:r>
        <w:rPr>
          <w:rFonts w:cs="Calibri"/>
          <w:sz w:val="24"/>
          <w:szCs w:val="24"/>
        </w:rPr>
        <w:lastRenderedPageBreak/>
        <w:t>-Liaison ORVAL reliant Oran (Algérie) à Valence (Espagne) ;</w:t>
      </w:r>
    </w:p>
    <w:p w:rsidR="005B198F" w:rsidRDefault="005B198F" w:rsidP="007E638F">
      <w:pPr>
        <w:jc w:val="both"/>
        <w:rPr>
          <w:rFonts w:cs="Calibri"/>
          <w:sz w:val="24"/>
          <w:szCs w:val="24"/>
        </w:rPr>
      </w:pPr>
      <w:r>
        <w:rPr>
          <w:rFonts w:cs="Calibri"/>
          <w:sz w:val="24"/>
          <w:szCs w:val="24"/>
        </w:rPr>
        <w:t>-Le câble MEDEX renforçant et sécurisant le câble SMW4 reliant Annaba (Algérie) à Marseille (France).</w:t>
      </w:r>
    </w:p>
    <w:p w:rsidR="005B198F" w:rsidRDefault="005B198F" w:rsidP="007E638F">
      <w:pPr>
        <w:jc w:val="both"/>
        <w:rPr>
          <w:rFonts w:cs="Calibri"/>
          <w:sz w:val="24"/>
          <w:szCs w:val="24"/>
        </w:rPr>
      </w:pPr>
      <w:r>
        <w:rPr>
          <w:rFonts w:cs="Calibri"/>
          <w:sz w:val="24"/>
          <w:szCs w:val="24"/>
        </w:rPr>
        <w:t>-Un réseau de téléphonie mobile de technologie 3G, déployé sur l’ensemble du territoire national  dès 2014, et renforcer par un réseau de technologie 4G en cours de déploiement depuis 2016.</w:t>
      </w:r>
    </w:p>
    <w:p w:rsidR="005B198F" w:rsidRDefault="005B198F" w:rsidP="007E638F">
      <w:pPr>
        <w:jc w:val="both"/>
        <w:rPr>
          <w:rFonts w:cs="Calibri"/>
          <w:sz w:val="24"/>
          <w:szCs w:val="24"/>
        </w:rPr>
      </w:pPr>
      <w:r>
        <w:rPr>
          <w:rFonts w:cs="Calibri"/>
          <w:sz w:val="24"/>
          <w:szCs w:val="24"/>
        </w:rPr>
        <w:t xml:space="preserve">-Un Satellite de communication </w:t>
      </w:r>
      <w:r w:rsidRPr="005B198F">
        <w:rPr>
          <w:rFonts w:cs="Calibri"/>
          <w:sz w:val="24"/>
          <w:szCs w:val="24"/>
        </w:rPr>
        <w:t xml:space="preserve">ALCOMSAT 1 </w:t>
      </w:r>
      <w:r>
        <w:rPr>
          <w:rFonts w:cs="Calibri"/>
          <w:sz w:val="24"/>
          <w:szCs w:val="24"/>
        </w:rPr>
        <w:t>lancé par l’Algérie en 2017 et qui permettra :</w:t>
      </w:r>
    </w:p>
    <w:p w:rsidR="005B198F" w:rsidRDefault="005B198F" w:rsidP="007E638F">
      <w:pPr>
        <w:numPr>
          <w:ilvl w:val="0"/>
          <w:numId w:val="11"/>
        </w:numPr>
        <w:jc w:val="both"/>
        <w:rPr>
          <w:rFonts w:cs="Calibri"/>
          <w:sz w:val="24"/>
          <w:szCs w:val="24"/>
        </w:rPr>
      </w:pPr>
      <w:r>
        <w:rPr>
          <w:rFonts w:cs="Calibri"/>
          <w:sz w:val="24"/>
          <w:szCs w:val="24"/>
        </w:rPr>
        <w:t>De connecter au réseau Internet, l’ensemble du territoire national,  y compris les zones enclavées difficiles à connecter aux réseaux terrestres. Le rayon de couverture de ce Satellite s’étend également à un certains pays africains ;</w:t>
      </w:r>
    </w:p>
    <w:p w:rsidR="005B198F" w:rsidRDefault="005B198F" w:rsidP="007E638F">
      <w:pPr>
        <w:numPr>
          <w:ilvl w:val="0"/>
          <w:numId w:val="11"/>
        </w:numPr>
        <w:jc w:val="both"/>
        <w:rPr>
          <w:rFonts w:cs="Calibri"/>
          <w:sz w:val="24"/>
          <w:szCs w:val="24"/>
        </w:rPr>
      </w:pPr>
      <w:r>
        <w:rPr>
          <w:rFonts w:cs="Calibri"/>
          <w:sz w:val="24"/>
          <w:szCs w:val="24"/>
        </w:rPr>
        <w:t xml:space="preserve">D’offrir aux usagers une multitude de solutions et de service par satellite (VISAT, IP Phone, Visioconférence et géo localisation, notamment) ; </w:t>
      </w:r>
    </w:p>
    <w:p w:rsidR="005B198F" w:rsidRDefault="005B198F" w:rsidP="007E638F">
      <w:pPr>
        <w:numPr>
          <w:ilvl w:val="0"/>
          <w:numId w:val="11"/>
        </w:numPr>
        <w:jc w:val="both"/>
        <w:rPr>
          <w:rFonts w:cs="Calibri"/>
          <w:sz w:val="24"/>
          <w:szCs w:val="24"/>
        </w:rPr>
      </w:pPr>
      <w:r>
        <w:rPr>
          <w:rFonts w:cs="Calibri"/>
          <w:sz w:val="24"/>
          <w:szCs w:val="24"/>
        </w:rPr>
        <w:t>D’assurer la continuité du service en cas de disfonctionnement du réseau terrestre.</w:t>
      </w:r>
    </w:p>
    <w:p w:rsidR="007E638F" w:rsidRPr="007E638F" w:rsidRDefault="007E638F" w:rsidP="007E638F">
      <w:pPr>
        <w:ind w:left="360"/>
        <w:jc w:val="both"/>
        <w:rPr>
          <w:rFonts w:cs="Calibri"/>
          <w:sz w:val="4"/>
          <w:szCs w:val="4"/>
        </w:rPr>
      </w:pPr>
    </w:p>
    <w:p w:rsidR="005B198F" w:rsidRDefault="005B198F" w:rsidP="007E638F">
      <w:pPr>
        <w:jc w:val="both"/>
        <w:rPr>
          <w:rFonts w:cs="Calibri"/>
          <w:sz w:val="24"/>
          <w:szCs w:val="24"/>
        </w:rPr>
      </w:pPr>
      <w:r>
        <w:rPr>
          <w:rFonts w:cs="Calibri"/>
          <w:sz w:val="24"/>
          <w:szCs w:val="24"/>
        </w:rPr>
        <w:t xml:space="preserve"> Ces infrastructures ont permis à la bande passante internationale de l’Internet d’atteindre 1 050 000 Mbit/s, hissant l’Algérie au rang des pays les plus avancés dans la région, dans le domaine du haut et du très haut débit.</w:t>
      </w:r>
    </w:p>
    <w:p w:rsidR="005B198F" w:rsidRDefault="005B198F" w:rsidP="007E638F">
      <w:pPr>
        <w:jc w:val="both"/>
        <w:rPr>
          <w:rFonts w:cs="Calibri"/>
          <w:sz w:val="24"/>
          <w:szCs w:val="24"/>
        </w:rPr>
      </w:pPr>
      <w:r>
        <w:rPr>
          <w:rFonts w:cs="Calibri"/>
          <w:sz w:val="24"/>
          <w:szCs w:val="24"/>
        </w:rPr>
        <w:t xml:space="preserve">Dans le domaine postal l’Algérie a développé un réseau physique dense dépassant les 4000 bureaux de poste réparti à travers tous le territoire national et connecté à une plateforme électronique de service financier et monétique moderne et sécurisée.  </w:t>
      </w:r>
    </w:p>
    <w:p w:rsidR="00AF1562" w:rsidRPr="007E638F" w:rsidRDefault="00AF1562" w:rsidP="00AF1562">
      <w:pPr>
        <w:jc w:val="both"/>
        <w:rPr>
          <w:rFonts w:cs="Calibri"/>
          <w:sz w:val="2"/>
          <w:szCs w:val="2"/>
        </w:rPr>
      </w:pPr>
    </w:p>
    <w:p w:rsidR="0064140D" w:rsidRDefault="0064140D" w:rsidP="00AF1562">
      <w:pPr>
        <w:jc w:val="both"/>
        <w:rPr>
          <w:b/>
          <w:bCs/>
          <w:sz w:val="24"/>
          <w:szCs w:val="24"/>
        </w:rPr>
      </w:pPr>
      <w:r w:rsidRPr="009513E3">
        <w:rPr>
          <w:b/>
          <w:bCs/>
          <w:sz w:val="24"/>
          <w:szCs w:val="24"/>
          <w:u w:val="single"/>
        </w:rPr>
        <w:t>ASPIRATION</w:t>
      </w:r>
      <w:r w:rsidR="00AF1562">
        <w:rPr>
          <w:b/>
          <w:bCs/>
          <w:sz w:val="24"/>
          <w:szCs w:val="24"/>
          <w:u w:val="single"/>
        </w:rPr>
        <w:t xml:space="preserve"> </w:t>
      </w:r>
      <w:r w:rsidRPr="009513E3">
        <w:rPr>
          <w:b/>
          <w:bCs/>
          <w:sz w:val="24"/>
          <w:szCs w:val="24"/>
          <w:u w:val="single"/>
        </w:rPr>
        <w:t>3</w:t>
      </w:r>
      <w:r w:rsidRPr="001904FC">
        <w:rPr>
          <w:b/>
          <w:bCs/>
          <w:sz w:val="24"/>
          <w:szCs w:val="24"/>
        </w:rPr>
        <w:t> : UNE AFRIQUE DE LA BONNE GOUVERNANCE, DE LA DEMOCRATIE, DU RESPECT DES DROITS DE L’HOMME ET DE L’ETAT DE DROIT</w:t>
      </w:r>
    </w:p>
    <w:p w:rsidR="007E638F" w:rsidRPr="007E638F" w:rsidRDefault="007E638F" w:rsidP="00AF1562">
      <w:pPr>
        <w:jc w:val="both"/>
        <w:rPr>
          <w:b/>
          <w:bCs/>
          <w:sz w:val="4"/>
          <w:szCs w:val="4"/>
        </w:rPr>
      </w:pPr>
    </w:p>
    <w:p w:rsidR="000003BE" w:rsidRPr="009513E3" w:rsidRDefault="000003BE" w:rsidP="00FD0B90">
      <w:pPr>
        <w:jc w:val="both"/>
        <w:rPr>
          <w:rFonts w:cs="Calibri"/>
          <w:b/>
          <w:bCs/>
          <w:sz w:val="24"/>
          <w:szCs w:val="24"/>
        </w:rPr>
      </w:pPr>
      <w:r w:rsidRPr="007E638F">
        <w:rPr>
          <w:rFonts w:cs="Calibri"/>
          <w:b/>
          <w:bCs/>
          <w:sz w:val="24"/>
          <w:szCs w:val="24"/>
          <w:u w:val="single"/>
        </w:rPr>
        <w:t>Objectif 11</w:t>
      </w:r>
      <w:r w:rsidRPr="009513E3">
        <w:rPr>
          <w:rFonts w:cs="Calibri"/>
          <w:b/>
          <w:bCs/>
          <w:sz w:val="24"/>
          <w:szCs w:val="24"/>
        </w:rPr>
        <w:t xml:space="preserve"> : enracinement des valeurs, des pratiques démocratiques des principes universels des droits de l’homme, de la justice et de l’Etat de droit.</w:t>
      </w:r>
    </w:p>
    <w:p w:rsidR="000003BE" w:rsidRPr="008E0A90" w:rsidRDefault="000003BE" w:rsidP="00FD0B90">
      <w:pPr>
        <w:jc w:val="both"/>
        <w:rPr>
          <w:rFonts w:cs="Calibri"/>
          <w:sz w:val="24"/>
          <w:szCs w:val="24"/>
        </w:rPr>
      </w:pPr>
      <w:r w:rsidRPr="008E0A90">
        <w:rPr>
          <w:rFonts w:cs="Calibri"/>
          <w:sz w:val="24"/>
          <w:szCs w:val="24"/>
        </w:rPr>
        <w:t>La liberté d’association est consacrée en Algérie par les articles 48 et 54 de la Constitution. Cette liberté a été consolidée davantage à la faveur de la dernière révision constitutionnelle du 07 février 2016, à travers laquelle la loi relative aux associations a été hissée au rang de loi organique</w:t>
      </w:r>
    </w:p>
    <w:p w:rsidR="00131516" w:rsidRDefault="000003BE" w:rsidP="00FD0B90">
      <w:pPr>
        <w:jc w:val="both"/>
        <w:rPr>
          <w:rFonts w:cs="Calibri"/>
          <w:sz w:val="24"/>
          <w:szCs w:val="24"/>
        </w:rPr>
      </w:pPr>
      <w:r w:rsidRPr="008E0A90">
        <w:rPr>
          <w:rFonts w:cs="Calibri"/>
          <w:sz w:val="24"/>
          <w:szCs w:val="24"/>
        </w:rPr>
        <w:t xml:space="preserve">La Constitution algérienne accorde une grande importance à l’opération électorale en tant que pratique démocratique permettant aux citoyens d’élire leurs représentants dans tous les Assemblées élues. </w:t>
      </w:r>
    </w:p>
    <w:p w:rsidR="000003BE" w:rsidRPr="008E0A90" w:rsidRDefault="000003BE" w:rsidP="00FD0B90">
      <w:pPr>
        <w:jc w:val="both"/>
        <w:rPr>
          <w:rFonts w:cs="Calibri"/>
          <w:sz w:val="24"/>
          <w:szCs w:val="24"/>
        </w:rPr>
      </w:pPr>
      <w:r w:rsidRPr="008E0A90">
        <w:rPr>
          <w:rFonts w:cs="Calibri"/>
          <w:sz w:val="24"/>
          <w:szCs w:val="24"/>
        </w:rPr>
        <w:t>De nombreuses dispositions constitutionnelles consacrent ce droit ainsi qu’un ensemble de garanties juridiques visant à assurer des élections libres et transparentes. Il s’agit du :</w:t>
      </w:r>
    </w:p>
    <w:p w:rsidR="000003BE" w:rsidRPr="008E0A90" w:rsidRDefault="000003BE" w:rsidP="00FD0B90">
      <w:pPr>
        <w:jc w:val="both"/>
        <w:rPr>
          <w:rFonts w:cs="Calibri"/>
          <w:sz w:val="24"/>
          <w:szCs w:val="24"/>
        </w:rPr>
      </w:pPr>
      <w:r w:rsidRPr="008E0A90">
        <w:rPr>
          <w:rFonts w:cs="Calibri"/>
          <w:sz w:val="24"/>
          <w:szCs w:val="24"/>
        </w:rPr>
        <w:t>●</w:t>
      </w:r>
      <w:r w:rsidR="00C42445" w:rsidRPr="008E0A90">
        <w:rPr>
          <w:rFonts w:cs="Calibri"/>
          <w:sz w:val="24"/>
          <w:szCs w:val="24"/>
        </w:rPr>
        <w:t xml:space="preserve"> </w:t>
      </w:r>
      <w:r w:rsidRPr="008E0A90">
        <w:rPr>
          <w:rFonts w:cs="Calibri"/>
          <w:sz w:val="24"/>
          <w:szCs w:val="24"/>
        </w:rPr>
        <w:t>Droit de vote et le droit de se porter candidat ;</w:t>
      </w:r>
    </w:p>
    <w:p w:rsidR="000003BE" w:rsidRPr="008E0A90" w:rsidRDefault="000003BE" w:rsidP="00FD0B90">
      <w:pPr>
        <w:jc w:val="both"/>
        <w:rPr>
          <w:rFonts w:cs="Calibri"/>
          <w:sz w:val="24"/>
          <w:szCs w:val="24"/>
        </w:rPr>
      </w:pPr>
      <w:r w:rsidRPr="008E0A90">
        <w:rPr>
          <w:rFonts w:cs="Calibri"/>
          <w:sz w:val="24"/>
          <w:szCs w:val="24"/>
        </w:rPr>
        <w:t>●</w:t>
      </w:r>
      <w:r w:rsidR="00C42445" w:rsidRPr="008E0A90">
        <w:rPr>
          <w:rFonts w:cs="Calibri"/>
          <w:sz w:val="24"/>
          <w:szCs w:val="24"/>
        </w:rPr>
        <w:t xml:space="preserve"> </w:t>
      </w:r>
      <w:r w:rsidRPr="008E0A90">
        <w:rPr>
          <w:rFonts w:cs="Calibri"/>
          <w:sz w:val="24"/>
          <w:szCs w:val="24"/>
        </w:rPr>
        <w:t>La mise en place d’une Commission Nationale indépendante de surveillance des élections ;</w:t>
      </w:r>
    </w:p>
    <w:p w:rsidR="000003BE" w:rsidRPr="008E0A90" w:rsidRDefault="000003BE" w:rsidP="00FD0B90">
      <w:pPr>
        <w:jc w:val="both"/>
        <w:rPr>
          <w:rFonts w:cs="Calibri"/>
          <w:sz w:val="24"/>
          <w:szCs w:val="24"/>
        </w:rPr>
      </w:pPr>
      <w:r w:rsidRPr="008E0A90">
        <w:rPr>
          <w:rFonts w:cs="Calibri"/>
          <w:sz w:val="24"/>
          <w:szCs w:val="24"/>
        </w:rPr>
        <w:lastRenderedPageBreak/>
        <w:t>●</w:t>
      </w:r>
      <w:r w:rsidR="00C42445" w:rsidRPr="008E0A90">
        <w:rPr>
          <w:rFonts w:cs="Calibri"/>
          <w:sz w:val="24"/>
          <w:szCs w:val="24"/>
        </w:rPr>
        <w:t xml:space="preserve"> </w:t>
      </w:r>
      <w:r w:rsidRPr="008E0A90">
        <w:rPr>
          <w:rFonts w:cs="Calibri"/>
          <w:sz w:val="24"/>
          <w:szCs w:val="24"/>
        </w:rPr>
        <w:t>La supervision des élections par des magistrats ;</w:t>
      </w:r>
    </w:p>
    <w:p w:rsidR="009513E3" w:rsidRDefault="000003BE" w:rsidP="00FD0B90">
      <w:pPr>
        <w:jc w:val="both"/>
        <w:rPr>
          <w:rFonts w:cs="Calibri"/>
          <w:sz w:val="24"/>
          <w:szCs w:val="24"/>
        </w:rPr>
      </w:pPr>
      <w:r w:rsidRPr="008E0A90">
        <w:rPr>
          <w:rFonts w:cs="Calibri"/>
          <w:sz w:val="24"/>
          <w:szCs w:val="24"/>
        </w:rPr>
        <w:t>●</w:t>
      </w:r>
      <w:r w:rsidR="00C42445" w:rsidRPr="008E0A90">
        <w:rPr>
          <w:rFonts w:cs="Calibri"/>
          <w:sz w:val="24"/>
          <w:szCs w:val="24"/>
        </w:rPr>
        <w:t xml:space="preserve"> </w:t>
      </w:r>
      <w:r w:rsidRPr="008E0A90">
        <w:rPr>
          <w:rFonts w:cs="Calibri"/>
          <w:sz w:val="24"/>
          <w:szCs w:val="24"/>
        </w:rPr>
        <w:t>Le droit de recours en cas de contestation des résultats des élections</w:t>
      </w:r>
      <w:r w:rsidR="00C42445" w:rsidRPr="008E0A90">
        <w:rPr>
          <w:rFonts w:cs="Calibri"/>
          <w:sz w:val="24"/>
          <w:szCs w:val="24"/>
        </w:rPr>
        <w:t>.</w:t>
      </w:r>
    </w:p>
    <w:p w:rsidR="007E638F" w:rsidRPr="007E638F" w:rsidRDefault="007E638F" w:rsidP="00FD0B90">
      <w:pPr>
        <w:jc w:val="both"/>
        <w:rPr>
          <w:rFonts w:cs="Calibri"/>
          <w:sz w:val="6"/>
          <w:szCs w:val="6"/>
        </w:rPr>
      </w:pPr>
    </w:p>
    <w:p w:rsidR="00AB5DE5" w:rsidRPr="009513E3" w:rsidRDefault="0064140D" w:rsidP="009513E3">
      <w:pPr>
        <w:rPr>
          <w:rFonts w:cs="Calibri"/>
          <w:b/>
          <w:bCs/>
          <w:sz w:val="24"/>
          <w:szCs w:val="24"/>
        </w:rPr>
      </w:pPr>
      <w:r w:rsidRPr="00AF1562">
        <w:rPr>
          <w:b/>
          <w:bCs/>
          <w:sz w:val="24"/>
          <w:szCs w:val="24"/>
          <w:u w:val="single"/>
        </w:rPr>
        <w:t>ASPIRATION 4 :</w:t>
      </w:r>
      <w:r w:rsidRPr="009513E3">
        <w:rPr>
          <w:b/>
          <w:bCs/>
          <w:sz w:val="24"/>
          <w:szCs w:val="24"/>
        </w:rPr>
        <w:t xml:space="preserve"> UNE AFRIQUE EN PAIX ET</w:t>
      </w:r>
      <w:r w:rsidR="00207595" w:rsidRPr="009513E3">
        <w:rPr>
          <w:b/>
          <w:bCs/>
          <w:sz w:val="24"/>
          <w:szCs w:val="24"/>
        </w:rPr>
        <w:t xml:space="preserve"> SUR</w:t>
      </w:r>
      <w:r w:rsidR="009513E3" w:rsidRPr="009513E3">
        <w:rPr>
          <w:b/>
          <w:bCs/>
          <w:sz w:val="24"/>
          <w:szCs w:val="24"/>
        </w:rPr>
        <w:t xml:space="preserve">  (</w:t>
      </w:r>
      <w:r w:rsidR="000003BE" w:rsidRPr="009513E3">
        <w:rPr>
          <w:rFonts w:cs="Calibri"/>
          <w:b/>
          <w:bCs/>
          <w:sz w:val="24"/>
          <w:szCs w:val="24"/>
        </w:rPr>
        <w:t>Objectif 13</w:t>
      </w:r>
      <w:r w:rsidR="002A771A" w:rsidRPr="009513E3">
        <w:rPr>
          <w:rFonts w:cs="Calibri"/>
          <w:b/>
          <w:bCs/>
          <w:sz w:val="24"/>
          <w:szCs w:val="24"/>
        </w:rPr>
        <w:t>,</w:t>
      </w:r>
      <w:r w:rsidR="007E638F">
        <w:rPr>
          <w:rFonts w:cs="Calibri"/>
          <w:b/>
          <w:bCs/>
          <w:sz w:val="24"/>
          <w:szCs w:val="24"/>
        </w:rPr>
        <w:t xml:space="preserve"> </w:t>
      </w:r>
      <w:r w:rsidR="002A771A" w:rsidRPr="009513E3">
        <w:rPr>
          <w:rFonts w:cs="Calibri"/>
          <w:b/>
          <w:bCs/>
          <w:sz w:val="24"/>
          <w:szCs w:val="24"/>
        </w:rPr>
        <w:t>14,</w:t>
      </w:r>
      <w:r w:rsidR="007E638F">
        <w:rPr>
          <w:rFonts w:cs="Calibri"/>
          <w:b/>
          <w:bCs/>
          <w:sz w:val="24"/>
          <w:szCs w:val="24"/>
        </w:rPr>
        <w:t xml:space="preserve"> </w:t>
      </w:r>
      <w:r w:rsidR="002A771A" w:rsidRPr="009513E3">
        <w:rPr>
          <w:rFonts w:cs="Calibri"/>
          <w:b/>
          <w:bCs/>
          <w:sz w:val="24"/>
          <w:szCs w:val="24"/>
        </w:rPr>
        <w:t>15</w:t>
      </w:r>
      <w:r w:rsidR="00AB5DE5" w:rsidRPr="009513E3">
        <w:rPr>
          <w:rFonts w:cs="Calibri"/>
          <w:b/>
          <w:bCs/>
          <w:sz w:val="24"/>
          <w:szCs w:val="24"/>
        </w:rPr>
        <w:t> </w:t>
      </w:r>
      <w:r w:rsidR="009513E3" w:rsidRPr="009513E3">
        <w:rPr>
          <w:rFonts w:cs="Calibri"/>
          <w:b/>
          <w:bCs/>
          <w:sz w:val="24"/>
          <w:szCs w:val="24"/>
        </w:rPr>
        <w:t>)</w:t>
      </w:r>
      <w:r w:rsidR="00AB5DE5" w:rsidRPr="009513E3">
        <w:rPr>
          <w:rFonts w:cs="Calibri"/>
          <w:b/>
          <w:bCs/>
          <w:sz w:val="24"/>
          <w:szCs w:val="24"/>
        </w:rPr>
        <w:t>:</w:t>
      </w:r>
    </w:p>
    <w:p w:rsidR="002A771A" w:rsidRPr="008E0A90" w:rsidRDefault="000003BE" w:rsidP="009513E3">
      <w:pPr>
        <w:jc w:val="both"/>
        <w:rPr>
          <w:rFonts w:ascii="Calibri Light" w:hAnsi="Calibri Light"/>
          <w:color w:val="000000"/>
          <w:sz w:val="24"/>
          <w:szCs w:val="24"/>
        </w:rPr>
      </w:pPr>
      <w:r w:rsidRPr="008E0A90">
        <w:rPr>
          <w:rFonts w:cs="Calibri"/>
          <w:b/>
          <w:bCs/>
          <w:color w:val="FF0000"/>
          <w:sz w:val="24"/>
          <w:szCs w:val="24"/>
        </w:rPr>
        <w:t xml:space="preserve"> </w:t>
      </w:r>
      <w:r w:rsidR="002A771A" w:rsidRPr="008E0A90">
        <w:rPr>
          <w:rFonts w:ascii="Calibri Light" w:hAnsi="Calibri Light"/>
          <w:color w:val="000000"/>
          <w:sz w:val="24"/>
          <w:szCs w:val="24"/>
        </w:rPr>
        <w:t>S’agissant de l’aspiration n°4 ayant trait à une Afrique en paix et sûre, l’Algérie, membre fondateur de l’UA, a, de tout temps apporté son soutien aux efforts visant à promouvoir la paix, la sécurité et la stabilité sur le Continent. Comme elle a contribué à la réalisation du progrès escompté en la matière.</w:t>
      </w:r>
    </w:p>
    <w:p w:rsidR="002A771A" w:rsidRDefault="002A771A" w:rsidP="002A771A">
      <w:pPr>
        <w:jc w:val="both"/>
        <w:rPr>
          <w:rFonts w:ascii="Calibri Light" w:hAnsi="Calibri Light"/>
          <w:color w:val="000000"/>
          <w:sz w:val="24"/>
          <w:szCs w:val="24"/>
        </w:rPr>
      </w:pPr>
      <w:r w:rsidRPr="008E0A90">
        <w:rPr>
          <w:rFonts w:cs="Calibri"/>
          <w:sz w:val="24"/>
          <w:szCs w:val="24"/>
        </w:rPr>
        <w:t>Dans le cadre des efforts visant le renforcement de l'Architecture de Paix et de Sécurité en Afrique (APSA), l'Algérie a l’insigne honneur d’accueillir les sièges du Centre Africain d’Etudes et de Recherche sur le Terrorisme (CAERT) et le Mécanisme africain de coopération policière (AFRIPOL)</w:t>
      </w:r>
      <w:r w:rsidRPr="008E0A90">
        <w:rPr>
          <w:rFonts w:ascii="Calibri Light" w:hAnsi="Calibri Light"/>
          <w:color w:val="000000"/>
          <w:sz w:val="24"/>
          <w:szCs w:val="24"/>
        </w:rPr>
        <w:t>. Ces organes dédiés à la lutte contre le terrorisme et ses phénomènes connexes ont pour vocation d’impulser la coopération et la coordination des efforts des Etats membres dans la recherche de solutions africaines aux crises qui prévalent sur le Continent.</w:t>
      </w:r>
    </w:p>
    <w:p w:rsidR="006255A2" w:rsidRPr="006255A2" w:rsidRDefault="006255A2" w:rsidP="006255A2">
      <w:pPr>
        <w:jc w:val="both"/>
        <w:rPr>
          <w:rFonts w:cs="Calibri"/>
          <w:sz w:val="24"/>
          <w:szCs w:val="24"/>
        </w:rPr>
      </w:pPr>
      <w:r w:rsidRPr="006255A2">
        <w:rPr>
          <w:rFonts w:cs="Calibri"/>
          <w:sz w:val="24"/>
          <w:szCs w:val="24"/>
        </w:rPr>
        <w:t>Il convient de noter que l’Algérie contribue pleinement, notamment dans le cadre de la Force Africaine en Attente (FAA) qui est l’un des piliers de l’APSA et ce, à travers la Capacité Régiona</w:t>
      </w:r>
      <w:r w:rsidR="00131516">
        <w:rPr>
          <w:rFonts w:cs="Calibri"/>
          <w:sz w:val="24"/>
          <w:szCs w:val="24"/>
        </w:rPr>
        <w:t>le de l’Afrique du Nord (NARC).</w:t>
      </w:r>
      <w:r w:rsidRPr="006255A2">
        <w:rPr>
          <w:rFonts w:cs="Calibri"/>
          <w:sz w:val="24"/>
          <w:szCs w:val="24"/>
        </w:rPr>
        <w:t xml:space="preserve"> L’Algérie figure également parmi les Nations Volontaires ayant pris part à la Capacité Africaine de Réponse Immédiate aux Crises (CARIC). </w:t>
      </w:r>
    </w:p>
    <w:p w:rsidR="006255A2" w:rsidRPr="006255A2" w:rsidRDefault="006255A2" w:rsidP="006255A2">
      <w:pPr>
        <w:jc w:val="both"/>
        <w:rPr>
          <w:rFonts w:cs="Calibri"/>
          <w:sz w:val="24"/>
          <w:szCs w:val="24"/>
        </w:rPr>
      </w:pPr>
      <w:r w:rsidRPr="006255A2">
        <w:rPr>
          <w:rFonts w:cs="Calibri"/>
          <w:sz w:val="24"/>
          <w:szCs w:val="24"/>
        </w:rPr>
        <w:t>Concernant la Capacité Régionale de l’Afrique du Nord (NARC), celle-ci a été créée conformément aux textes inhérents à la mise en place de la nouvelle APSA. Elle est chargée, en vertu du Mémorandum d’entente signé en 2017, par les Chefs d’États membres de l’UA, de mettre en place une Force et des structures dédiées à la participation au sein de la Force Africaine en Attente.</w:t>
      </w:r>
    </w:p>
    <w:p w:rsidR="006255A2" w:rsidRPr="006255A2" w:rsidRDefault="006255A2" w:rsidP="006255A2">
      <w:pPr>
        <w:jc w:val="both"/>
        <w:rPr>
          <w:rFonts w:cs="Calibri"/>
          <w:sz w:val="24"/>
          <w:szCs w:val="24"/>
        </w:rPr>
      </w:pPr>
      <w:r w:rsidRPr="006255A2">
        <w:rPr>
          <w:rFonts w:cs="Calibri"/>
          <w:sz w:val="24"/>
          <w:szCs w:val="24"/>
        </w:rPr>
        <w:t xml:space="preserve">Ce Mémorandum d'Entente est un document cadre et de référence pour la constitution de la Capacité Régionale de l'Afrique du Nord (NARC). </w:t>
      </w:r>
    </w:p>
    <w:p w:rsidR="006255A2" w:rsidRPr="006255A2" w:rsidRDefault="006255A2" w:rsidP="006255A2">
      <w:pPr>
        <w:jc w:val="both"/>
        <w:rPr>
          <w:rFonts w:cs="Calibri"/>
          <w:sz w:val="24"/>
          <w:szCs w:val="24"/>
        </w:rPr>
      </w:pPr>
      <w:r w:rsidRPr="006255A2">
        <w:rPr>
          <w:rFonts w:cs="Calibri"/>
          <w:sz w:val="24"/>
          <w:szCs w:val="24"/>
        </w:rPr>
        <w:t>Outre le Commandement stratégique, constitué d’une Conférence des Chefs d’États, du Conseil des Ministres de Défense, du Comité des Chefs d’Etat-Major et d’un Secrétariat Exécutif, la NARC est composée d’une Brigade en Attente, d’un Élément de planification, de deux bases logistiques et de trois Centres de Formation d’Excellence.</w:t>
      </w:r>
    </w:p>
    <w:p w:rsidR="006255A2" w:rsidRPr="006255A2" w:rsidRDefault="006255A2" w:rsidP="00122C86">
      <w:pPr>
        <w:jc w:val="both"/>
        <w:rPr>
          <w:rFonts w:cs="Calibri"/>
          <w:sz w:val="24"/>
          <w:szCs w:val="24"/>
        </w:rPr>
      </w:pPr>
      <w:r w:rsidRPr="006255A2">
        <w:rPr>
          <w:rFonts w:cs="Calibri"/>
          <w:sz w:val="24"/>
          <w:szCs w:val="24"/>
        </w:rPr>
        <w:t xml:space="preserve">Dans le cadre de son fonctionnement, il sied d’indiquer </w:t>
      </w:r>
      <w:r w:rsidRPr="00122C86">
        <w:rPr>
          <w:rFonts w:cs="Calibri"/>
          <w:sz w:val="24"/>
          <w:szCs w:val="24"/>
        </w:rPr>
        <w:t>que</w:t>
      </w:r>
      <w:r w:rsidR="00026226" w:rsidRPr="00122C86">
        <w:rPr>
          <w:rFonts w:cs="Calibri"/>
          <w:sz w:val="24"/>
          <w:szCs w:val="24"/>
        </w:rPr>
        <w:t xml:space="preserve"> </w:t>
      </w:r>
      <w:r w:rsidR="00122C86">
        <w:rPr>
          <w:rFonts w:cs="Calibri"/>
          <w:sz w:val="24"/>
          <w:szCs w:val="24"/>
        </w:rPr>
        <w:t>notre pays</w:t>
      </w:r>
      <w:r w:rsidRPr="00122C86">
        <w:rPr>
          <w:rFonts w:cs="Calibri"/>
          <w:sz w:val="24"/>
          <w:szCs w:val="24"/>
        </w:rPr>
        <w:t xml:space="preserve"> a pris part à toutes les activités de ce Mécanisme Régional</w:t>
      </w:r>
      <w:r w:rsidRPr="006255A2">
        <w:rPr>
          <w:rFonts w:cs="Calibri"/>
          <w:sz w:val="24"/>
          <w:szCs w:val="24"/>
        </w:rPr>
        <w:t xml:space="preserve"> de l’UA, qui a déjà organisé 6 réunions du Conseil des Ministres de la Défense, 7 réunions des Chefs d’État-Major de défense et 9 réunions d’experts.</w:t>
      </w:r>
    </w:p>
    <w:p w:rsidR="006255A2" w:rsidRPr="006255A2" w:rsidRDefault="006255A2" w:rsidP="006255A2">
      <w:pPr>
        <w:numPr>
          <w:ilvl w:val="0"/>
          <w:numId w:val="9"/>
        </w:numPr>
        <w:spacing w:after="0" w:line="240" w:lineRule="auto"/>
        <w:ind w:left="142" w:right="-1"/>
        <w:jc w:val="both"/>
        <w:rPr>
          <w:rFonts w:cs="Calibri"/>
          <w:b/>
          <w:bCs/>
          <w:color w:val="000000"/>
          <w:sz w:val="24"/>
          <w:szCs w:val="24"/>
        </w:rPr>
      </w:pPr>
      <w:r w:rsidRPr="006255A2">
        <w:rPr>
          <w:rFonts w:cs="Calibri"/>
          <w:b/>
          <w:bCs/>
          <w:color w:val="000000"/>
          <w:sz w:val="24"/>
          <w:szCs w:val="24"/>
          <w:u w:val="single"/>
        </w:rPr>
        <w:t>Contributions algériennes à la NARC</w:t>
      </w:r>
      <w:r w:rsidRPr="006255A2">
        <w:rPr>
          <w:rFonts w:cs="Calibri"/>
          <w:b/>
          <w:bCs/>
          <w:color w:val="000000"/>
          <w:sz w:val="24"/>
          <w:szCs w:val="24"/>
        </w:rPr>
        <w:t xml:space="preserve"> : </w:t>
      </w:r>
    </w:p>
    <w:p w:rsidR="006255A2" w:rsidRPr="006255A2" w:rsidRDefault="006255A2" w:rsidP="006255A2">
      <w:pPr>
        <w:jc w:val="both"/>
        <w:rPr>
          <w:rFonts w:cs="Calibri"/>
          <w:sz w:val="24"/>
          <w:szCs w:val="24"/>
        </w:rPr>
      </w:pPr>
      <w:r w:rsidRPr="006255A2">
        <w:rPr>
          <w:rFonts w:cs="Calibri"/>
          <w:sz w:val="24"/>
          <w:szCs w:val="24"/>
        </w:rPr>
        <w:t>Dans ce cadre, le Mémorandum d'Entente prévoit la contribution</w:t>
      </w:r>
      <w:r w:rsidR="00122C86">
        <w:rPr>
          <w:rFonts w:cs="Calibri"/>
          <w:sz w:val="24"/>
          <w:szCs w:val="24"/>
        </w:rPr>
        <w:t xml:space="preserve"> de</w:t>
      </w:r>
      <w:r w:rsidRPr="006255A2">
        <w:rPr>
          <w:rFonts w:cs="Calibri"/>
          <w:sz w:val="24"/>
          <w:szCs w:val="24"/>
        </w:rPr>
        <w:t xml:space="preserve"> l’Algérie au sein de cette capacité comme suit :</w:t>
      </w:r>
    </w:p>
    <w:p w:rsidR="006255A2" w:rsidRPr="006255A2" w:rsidRDefault="006255A2" w:rsidP="006255A2">
      <w:pPr>
        <w:numPr>
          <w:ilvl w:val="0"/>
          <w:numId w:val="10"/>
        </w:numPr>
        <w:spacing w:after="0" w:line="240" w:lineRule="auto"/>
        <w:ind w:right="-1"/>
        <w:jc w:val="both"/>
        <w:rPr>
          <w:rFonts w:cs="Calibri"/>
          <w:color w:val="000000"/>
          <w:sz w:val="24"/>
          <w:szCs w:val="24"/>
        </w:rPr>
      </w:pPr>
      <w:r w:rsidRPr="006255A2">
        <w:rPr>
          <w:rFonts w:cs="Calibri"/>
          <w:color w:val="000000"/>
          <w:sz w:val="24"/>
          <w:szCs w:val="24"/>
        </w:rPr>
        <w:t>deux Bataillons d'Infanterie Autonomes ;</w:t>
      </w:r>
    </w:p>
    <w:p w:rsidR="006255A2" w:rsidRPr="006255A2" w:rsidRDefault="006255A2" w:rsidP="006255A2">
      <w:pPr>
        <w:numPr>
          <w:ilvl w:val="0"/>
          <w:numId w:val="10"/>
        </w:numPr>
        <w:spacing w:after="0" w:line="240" w:lineRule="auto"/>
        <w:ind w:right="-1"/>
        <w:jc w:val="both"/>
        <w:rPr>
          <w:rFonts w:cs="Calibri"/>
          <w:color w:val="000000"/>
          <w:sz w:val="24"/>
          <w:szCs w:val="24"/>
        </w:rPr>
      </w:pPr>
      <w:r w:rsidRPr="006255A2">
        <w:rPr>
          <w:rFonts w:cs="Calibri"/>
          <w:color w:val="000000"/>
          <w:sz w:val="24"/>
          <w:szCs w:val="24"/>
        </w:rPr>
        <w:t>une Compagnie de Police Militaire ;</w:t>
      </w:r>
    </w:p>
    <w:p w:rsidR="006255A2" w:rsidRPr="006255A2" w:rsidRDefault="006255A2" w:rsidP="006255A2">
      <w:pPr>
        <w:numPr>
          <w:ilvl w:val="0"/>
          <w:numId w:val="10"/>
        </w:numPr>
        <w:spacing w:after="0" w:line="240" w:lineRule="auto"/>
        <w:ind w:right="-1"/>
        <w:jc w:val="both"/>
        <w:rPr>
          <w:rFonts w:cs="Calibri"/>
          <w:color w:val="000000"/>
          <w:sz w:val="24"/>
          <w:szCs w:val="24"/>
        </w:rPr>
      </w:pPr>
      <w:r w:rsidRPr="006255A2">
        <w:rPr>
          <w:rFonts w:cs="Calibri"/>
          <w:color w:val="000000"/>
          <w:sz w:val="24"/>
          <w:szCs w:val="24"/>
        </w:rPr>
        <w:t>une Compagnie de Transmission ;</w:t>
      </w:r>
    </w:p>
    <w:p w:rsidR="006255A2" w:rsidRPr="006255A2" w:rsidRDefault="006255A2" w:rsidP="006255A2">
      <w:pPr>
        <w:numPr>
          <w:ilvl w:val="0"/>
          <w:numId w:val="10"/>
        </w:numPr>
        <w:spacing w:after="0" w:line="240" w:lineRule="auto"/>
        <w:ind w:right="-1"/>
        <w:jc w:val="both"/>
        <w:rPr>
          <w:rFonts w:cs="Calibri"/>
          <w:color w:val="000000"/>
          <w:sz w:val="24"/>
          <w:szCs w:val="24"/>
        </w:rPr>
      </w:pPr>
      <w:r w:rsidRPr="006255A2">
        <w:rPr>
          <w:rFonts w:cs="Calibri"/>
          <w:color w:val="000000"/>
          <w:sz w:val="24"/>
          <w:szCs w:val="24"/>
        </w:rPr>
        <w:lastRenderedPageBreak/>
        <w:t>(40) quarante Observateurs Militaires ;</w:t>
      </w:r>
    </w:p>
    <w:p w:rsidR="006255A2" w:rsidRPr="006255A2" w:rsidRDefault="006255A2" w:rsidP="006255A2">
      <w:pPr>
        <w:numPr>
          <w:ilvl w:val="0"/>
          <w:numId w:val="10"/>
        </w:numPr>
        <w:spacing w:after="0" w:line="240" w:lineRule="auto"/>
        <w:ind w:right="-1"/>
        <w:jc w:val="both"/>
        <w:rPr>
          <w:rFonts w:cs="Calibri"/>
          <w:color w:val="000000"/>
          <w:sz w:val="24"/>
          <w:szCs w:val="24"/>
        </w:rPr>
      </w:pPr>
      <w:r w:rsidRPr="006255A2">
        <w:rPr>
          <w:rFonts w:cs="Calibri"/>
          <w:color w:val="000000"/>
          <w:sz w:val="24"/>
          <w:szCs w:val="24"/>
        </w:rPr>
        <w:t>une unité de police/gendarmerie (FPU) + (01) une unité de réserve ;</w:t>
      </w:r>
    </w:p>
    <w:p w:rsidR="006255A2" w:rsidRPr="006255A2" w:rsidRDefault="006255A2" w:rsidP="006255A2">
      <w:pPr>
        <w:numPr>
          <w:ilvl w:val="0"/>
          <w:numId w:val="10"/>
        </w:numPr>
        <w:spacing w:after="0" w:line="240" w:lineRule="auto"/>
        <w:ind w:right="-1"/>
        <w:jc w:val="both"/>
        <w:rPr>
          <w:rFonts w:cs="Calibri"/>
          <w:color w:val="000000"/>
          <w:sz w:val="24"/>
          <w:szCs w:val="24"/>
        </w:rPr>
      </w:pPr>
      <w:r w:rsidRPr="006255A2">
        <w:rPr>
          <w:rFonts w:cs="Calibri"/>
          <w:color w:val="000000"/>
          <w:sz w:val="24"/>
          <w:szCs w:val="24"/>
        </w:rPr>
        <w:t>une unité de police générale (API) au sein du détachement principal ;</w:t>
      </w:r>
    </w:p>
    <w:p w:rsidR="006255A2" w:rsidRPr="006255A2" w:rsidRDefault="006255A2" w:rsidP="006255A2">
      <w:pPr>
        <w:numPr>
          <w:ilvl w:val="0"/>
          <w:numId w:val="10"/>
        </w:numPr>
        <w:tabs>
          <w:tab w:val="left" w:pos="851"/>
        </w:tabs>
        <w:spacing w:after="0" w:line="240" w:lineRule="auto"/>
        <w:ind w:right="-1"/>
        <w:jc w:val="both"/>
        <w:rPr>
          <w:rFonts w:cs="Calibri"/>
          <w:color w:val="000000"/>
          <w:sz w:val="24"/>
          <w:szCs w:val="24"/>
        </w:rPr>
      </w:pPr>
      <w:r w:rsidRPr="006255A2">
        <w:rPr>
          <w:rFonts w:cs="Calibri"/>
          <w:color w:val="000000"/>
          <w:sz w:val="24"/>
          <w:szCs w:val="24"/>
        </w:rPr>
        <w:t>une unité de police générale (API) au sein du détachement de réserve ;</w:t>
      </w:r>
    </w:p>
    <w:p w:rsidR="006255A2" w:rsidRPr="006255A2" w:rsidRDefault="006255A2" w:rsidP="006255A2">
      <w:pPr>
        <w:numPr>
          <w:ilvl w:val="0"/>
          <w:numId w:val="10"/>
        </w:numPr>
        <w:spacing w:after="0" w:line="240" w:lineRule="auto"/>
        <w:ind w:right="-1"/>
        <w:jc w:val="both"/>
        <w:rPr>
          <w:rFonts w:cs="Calibri"/>
          <w:color w:val="000000"/>
          <w:sz w:val="24"/>
          <w:szCs w:val="24"/>
        </w:rPr>
      </w:pPr>
      <w:r w:rsidRPr="006255A2">
        <w:rPr>
          <w:rFonts w:cs="Calibri"/>
          <w:color w:val="000000"/>
          <w:sz w:val="24"/>
          <w:szCs w:val="24"/>
        </w:rPr>
        <w:t>une composante civile.</w:t>
      </w:r>
    </w:p>
    <w:p w:rsidR="006255A2" w:rsidRPr="006255A2" w:rsidRDefault="006255A2" w:rsidP="006255A2">
      <w:pPr>
        <w:numPr>
          <w:ilvl w:val="0"/>
          <w:numId w:val="10"/>
        </w:numPr>
        <w:spacing w:after="0" w:line="240" w:lineRule="auto"/>
        <w:ind w:right="-1"/>
        <w:jc w:val="both"/>
        <w:rPr>
          <w:rFonts w:cs="Calibri"/>
          <w:color w:val="000000"/>
          <w:sz w:val="24"/>
          <w:szCs w:val="24"/>
        </w:rPr>
      </w:pPr>
      <w:r w:rsidRPr="006255A2">
        <w:rPr>
          <w:rFonts w:cs="Calibri"/>
          <w:color w:val="000000"/>
          <w:sz w:val="24"/>
          <w:szCs w:val="24"/>
        </w:rPr>
        <w:t>une Base Logistique (Jijel) ;</w:t>
      </w:r>
    </w:p>
    <w:p w:rsidR="006255A2" w:rsidRPr="006255A2" w:rsidRDefault="006255A2" w:rsidP="006255A2">
      <w:pPr>
        <w:numPr>
          <w:ilvl w:val="0"/>
          <w:numId w:val="10"/>
        </w:numPr>
        <w:spacing w:after="0" w:line="240" w:lineRule="auto"/>
        <w:ind w:right="-1"/>
        <w:jc w:val="both"/>
        <w:rPr>
          <w:rFonts w:cs="Calibri"/>
          <w:color w:val="000000"/>
          <w:sz w:val="24"/>
          <w:szCs w:val="24"/>
        </w:rPr>
      </w:pPr>
      <w:r w:rsidRPr="006255A2">
        <w:rPr>
          <w:rFonts w:cs="Calibri"/>
          <w:color w:val="000000"/>
          <w:sz w:val="24"/>
          <w:szCs w:val="24"/>
        </w:rPr>
        <w:t>un Centre de Formation d’Excellence (Rouiba) ;</w:t>
      </w:r>
    </w:p>
    <w:p w:rsidR="006255A2" w:rsidRPr="009513E3" w:rsidRDefault="006255A2" w:rsidP="006255A2">
      <w:pPr>
        <w:ind w:left="561" w:right="293"/>
        <w:jc w:val="both"/>
        <w:rPr>
          <w:rFonts w:cs="Calibri"/>
          <w:color w:val="000000"/>
          <w:sz w:val="12"/>
          <w:szCs w:val="12"/>
        </w:rPr>
      </w:pPr>
    </w:p>
    <w:p w:rsidR="006255A2" w:rsidRPr="006255A2" w:rsidRDefault="006255A2" w:rsidP="006255A2">
      <w:pPr>
        <w:numPr>
          <w:ilvl w:val="0"/>
          <w:numId w:val="9"/>
        </w:numPr>
        <w:spacing w:after="0" w:line="240" w:lineRule="auto"/>
        <w:ind w:left="142" w:right="-1" w:hanging="218"/>
        <w:jc w:val="both"/>
        <w:rPr>
          <w:rFonts w:cs="Calibri"/>
          <w:b/>
          <w:bCs/>
          <w:color w:val="000000"/>
          <w:sz w:val="24"/>
          <w:szCs w:val="24"/>
          <w:u w:val="single"/>
        </w:rPr>
      </w:pPr>
      <w:r w:rsidRPr="006255A2">
        <w:rPr>
          <w:rFonts w:cs="Calibri"/>
          <w:b/>
          <w:bCs/>
          <w:color w:val="000000"/>
          <w:sz w:val="24"/>
          <w:szCs w:val="24"/>
          <w:u w:val="single"/>
        </w:rPr>
        <w:t>La Base Logistique Régionale (BLR)</w:t>
      </w:r>
      <w:r w:rsidRPr="006255A2">
        <w:rPr>
          <w:rFonts w:cs="Calibri"/>
          <w:b/>
          <w:bCs/>
          <w:color w:val="000000"/>
          <w:sz w:val="24"/>
          <w:szCs w:val="24"/>
        </w:rPr>
        <w:t> :</w:t>
      </w:r>
      <w:r w:rsidRPr="006255A2">
        <w:rPr>
          <w:rFonts w:cs="Calibri"/>
          <w:b/>
          <w:bCs/>
          <w:color w:val="000000"/>
          <w:sz w:val="24"/>
          <w:szCs w:val="24"/>
          <w:u w:val="single"/>
        </w:rPr>
        <w:t xml:space="preserve"> </w:t>
      </w:r>
    </w:p>
    <w:p w:rsidR="00660927" w:rsidRPr="009513E3" w:rsidRDefault="00660927" w:rsidP="006255A2">
      <w:pPr>
        <w:ind w:right="-1"/>
        <w:jc w:val="both"/>
        <w:rPr>
          <w:rFonts w:cs="Calibri"/>
          <w:color w:val="000000"/>
          <w:sz w:val="8"/>
          <w:szCs w:val="8"/>
        </w:rPr>
      </w:pPr>
    </w:p>
    <w:p w:rsidR="006255A2" w:rsidRPr="006255A2" w:rsidRDefault="006255A2" w:rsidP="006255A2">
      <w:pPr>
        <w:ind w:right="-1"/>
        <w:jc w:val="both"/>
        <w:rPr>
          <w:rFonts w:cs="Calibri"/>
          <w:color w:val="000000"/>
          <w:sz w:val="24"/>
          <w:szCs w:val="24"/>
        </w:rPr>
      </w:pPr>
      <w:r w:rsidRPr="006255A2">
        <w:rPr>
          <w:rFonts w:cs="Calibri"/>
          <w:color w:val="000000"/>
          <w:sz w:val="24"/>
          <w:szCs w:val="24"/>
        </w:rPr>
        <w:t>Implantée dans la wilaya de Jijel, actuellement, cette base est régie par une convention de siège signée à Alger, le 25 janvier 2011 entre l’Algérie, représenté par le Chef du Service Protocole du Ministères des Affaires Étrangères et le Secrétaire Exécutif de la NARC.</w:t>
      </w:r>
    </w:p>
    <w:p w:rsidR="006255A2" w:rsidRPr="006255A2" w:rsidRDefault="006255A2" w:rsidP="006255A2">
      <w:pPr>
        <w:ind w:right="-1"/>
        <w:jc w:val="both"/>
        <w:rPr>
          <w:rFonts w:cs="Calibri"/>
          <w:color w:val="000000"/>
          <w:sz w:val="24"/>
          <w:szCs w:val="24"/>
        </w:rPr>
      </w:pPr>
      <w:r w:rsidRPr="006255A2">
        <w:rPr>
          <w:rFonts w:cs="Calibri"/>
          <w:color w:val="000000"/>
          <w:sz w:val="24"/>
          <w:szCs w:val="24"/>
        </w:rPr>
        <w:t>La BLR dispose d’importantes infrastructures pouvant lui permettre l’exécution de missions de Logistique d’envergure Régionale ou Continentale.</w:t>
      </w:r>
    </w:p>
    <w:p w:rsidR="006255A2" w:rsidRPr="006255A2" w:rsidRDefault="006255A2" w:rsidP="006255A2">
      <w:pPr>
        <w:pStyle w:val="ListParagraph"/>
        <w:ind w:left="0"/>
        <w:jc w:val="both"/>
        <w:rPr>
          <w:rFonts w:cs="Calibri"/>
          <w:color w:val="000000"/>
          <w:sz w:val="24"/>
          <w:szCs w:val="24"/>
        </w:rPr>
      </w:pPr>
      <w:r w:rsidRPr="006255A2">
        <w:rPr>
          <w:rFonts w:cs="Calibri"/>
          <w:color w:val="000000"/>
          <w:sz w:val="24"/>
          <w:szCs w:val="24"/>
        </w:rPr>
        <w:t>Il est à noter que l’activation la BLR est gelée au titre de l’année 2019 conformément à la décision du 6</w:t>
      </w:r>
      <w:r w:rsidRPr="006255A2">
        <w:rPr>
          <w:rFonts w:cs="Calibri"/>
          <w:color w:val="000000"/>
          <w:sz w:val="24"/>
          <w:szCs w:val="24"/>
          <w:vertAlign w:val="superscript"/>
        </w:rPr>
        <w:t>ème</w:t>
      </w:r>
      <w:r w:rsidRPr="006255A2">
        <w:rPr>
          <w:rFonts w:cs="Calibri"/>
          <w:color w:val="000000"/>
          <w:sz w:val="24"/>
          <w:szCs w:val="24"/>
        </w:rPr>
        <w:t xml:space="preserve"> Conseil des Ministres de la Défense de la NARC tenu le 13 mars 2019 à Addis-Abeba/Éthiopie.</w:t>
      </w:r>
    </w:p>
    <w:p w:rsidR="006255A2" w:rsidRPr="006255A2" w:rsidRDefault="006255A2" w:rsidP="006255A2">
      <w:pPr>
        <w:numPr>
          <w:ilvl w:val="0"/>
          <w:numId w:val="9"/>
        </w:numPr>
        <w:spacing w:after="0" w:line="240" w:lineRule="auto"/>
        <w:ind w:left="142" w:right="-1"/>
        <w:jc w:val="both"/>
        <w:rPr>
          <w:rFonts w:cs="Calibri"/>
          <w:b/>
          <w:bCs/>
          <w:color w:val="000000"/>
          <w:sz w:val="24"/>
          <w:szCs w:val="24"/>
          <w:u w:val="single"/>
        </w:rPr>
      </w:pPr>
      <w:r w:rsidRPr="006255A2">
        <w:rPr>
          <w:rFonts w:cs="Calibri"/>
          <w:b/>
          <w:bCs/>
          <w:color w:val="000000"/>
          <w:sz w:val="24"/>
          <w:szCs w:val="24"/>
          <w:u w:val="single"/>
        </w:rPr>
        <w:t>Le Centre de Formation d’Excellence (CFE)</w:t>
      </w:r>
      <w:r w:rsidRPr="006255A2">
        <w:rPr>
          <w:rFonts w:cs="Calibri"/>
          <w:b/>
          <w:bCs/>
          <w:color w:val="000000"/>
          <w:sz w:val="24"/>
          <w:szCs w:val="24"/>
        </w:rPr>
        <w:t> :</w:t>
      </w:r>
      <w:r w:rsidRPr="006255A2">
        <w:rPr>
          <w:rFonts w:cs="Calibri"/>
          <w:b/>
          <w:bCs/>
          <w:color w:val="000000"/>
          <w:sz w:val="24"/>
          <w:szCs w:val="24"/>
          <w:u w:val="single"/>
        </w:rPr>
        <w:t xml:space="preserve"> </w:t>
      </w:r>
    </w:p>
    <w:p w:rsidR="006255A2" w:rsidRPr="009513E3" w:rsidRDefault="006255A2" w:rsidP="006255A2">
      <w:pPr>
        <w:tabs>
          <w:tab w:val="left" w:pos="5670"/>
        </w:tabs>
        <w:ind w:left="993" w:right="293"/>
        <w:jc w:val="both"/>
        <w:rPr>
          <w:rFonts w:cs="Calibri"/>
          <w:b/>
          <w:bCs/>
          <w:color w:val="000000"/>
          <w:sz w:val="10"/>
          <w:szCs w:val="10"/>
        </w:rPr>
      </w:pPr>
    </w:p>
    <w:p w:rsidR="006255A2" w:rsidRPr="006255A2" w:rsidRDefault="006255A2" w:rsidP="006255A2">
      <w:pPr>
        <w:ind w:right="-1"/>
        <w:jc w:val="both"/>
        <w:rPr>
          <w:rFonts w:cs="Calibri"/>
          <w:color w:val="000000"/>
          <w:sz w:val="24"/>
          <w:szCs w:val="24"/>
        </w:rPr>
      </w:pPr>
      <w:r w:rsidRPr="006255A2">
        <w:rPr>
          <w:rFonts w:cs="Calibri"/>
          <w:color w:val="000000"/>
          <w:sz w:val="24"/>
          <w:szCs w:val="24"/>
        </w:rPr>
        <w:t>Créé conformément aux dispositions du décret présidentiel n° 11-03 du 06 février 2011, ce centre</w:t>
      </w:r>
      <w:r w:rsidRPr="006255A2">
        <w:rPr>
          <w:rFonts w:cs="Calibri"/>
          <w:b/>
          <w:bCs/>
          <w:color w:val="000000"/>
          <w:sz w:val="24"/>
          <w:szCs w:val="24"/>
        </w:rPr>
        <w:t xml:space="preserve"> </w:t>
      </w:r>
      <w:r w:rsidRPr="006255A2">
        <w:rPr>
          <w:rFonts w:cs="Calibri"/>
          <w:color w:val="000000"/>
          <w:sz w:val="24"/>
          <w:szCs w:val="24"/>
        </w:rPr>
        <w:t>est chargé de dispenser des formations de niveau stratégique, opérationnel et tactique dans le domaine du maintien de la paix aux personnels de toutes les composantes nationales et étrangères concernées par les opérations de soutien du maintien de la paix.</w:t>
      </w:r>
    </w:p>
    <w:p w:rsidR="006255A2" w:rsidRPr="006255A2" w:rsidRDefault="006255A2" w:rsidP="006255A2">
      <w:pPr>
        <w:ind w:right="-1"/>
        <w:jc w:val="both"/>
        <w:rPr>
          <w:rFonts w:cs="Calibri"/>
          <w:color w:val="000000"/>
          <w:sz w:val="24"/>
          <w:szCs w:val="24"/>
        </w:rPr>
      </w:pPr>
      <w:r w:rsidRPr="006255A2">
        <w:rPr>
          <w:rFonts w:cs="Calibri"/>
          <w:color w:val="000000"/>
          <w:sz w:val="24"/>
          <w:szCs w:val="24"/>
        </w:rPr>
        <w:t>Pour ce faire, dans le but de financer les programmes de formation dispensés par ce Centre et en vertu du Mémorandum d'Entente portant création de la NARC, il a été procédé à la signature, le 25 mai 2013, d’un protocole d’accord entre le CFE et le Secrétariat Exécutif de la NARC.</w:t>
      </w:r>
    </w:p>
    <w:p w:rsidR="006255A2" w:rsidRPr="006255A2" w:rsidRDefault="006255A2" w:rsidP="006255A2">
      <w:pPr>
        <w:ind w:right="-1"/>
        <w:jc w:val="both"/>
        <w:rPr>
          <w:rFonts w:cs="Calibri"/>
          <w:color w:val="000000"/>
          <w:sz w:val="24"/>
          <w:szCs w:val="24"/>
        </w:rPr>
      </w:pPr>
      <w:r w:rsidRPr="006255A2">
        <w:rPr>
          <w:rFonts w:cs="Calibri"/>
          <w:color w:val="000000"/>
          <w:sz w:val="24"/>
          <w:szCs w:val="24"/>
        </w:rPr>
        <w:t>Il convient de signaler</w:t>
      </w:r>
      <w:r w:rsidR="00026226">
        <w:rPr>
          <w:rFonts w:cs="Calibri"/>
          <w:color w:val="000000"/>
          <w:sz w:val="24"/>
          <w:szCs w:val="24"/>
        </w:rPr>
        <w:t>,</w:t>
      </w:r>
      <w:r w:rsidRPr="006255A2">
        <w:rPr>
          <w:rFonts w:cs="Calibri"/>
          <w:color w:val="000000"/>
          <w:sz w:val="24"/>
          <w:szCs w:val="24"/>
        </w:rPr>
        <w:t xml:space="preserve"> également</w:t>
      </w:r>
      <w:r w:rsidR="00026226">
        <w:rPr>
          <w:rFonts w:cs="Calibri"/>
          <w:color w:val="000000"/>
          <w:sz w:val="24"/>
          <w:szCs w:val="24"/>
        </w:rPr>
        <w:t>,</w:t>
      </w:r>
      <w:r w:rsidRPr="006255A2">
        <w:rPr>
          <w:rFonts w:cs="Calibri"/>
          <w:color w:val="000000"/>
          <w:sz w:val="24"/>
          <w:szCs w:val="24"/>
        </w:rPr>
        <w:t xml:space="preserve"> que dans le cadre de ses activités, le CFE a abrité, du 20 au 30 décembre 2018, le 1</w:t>
      </w:r>
      <w:r w:rsidRPr="006255A2">
        <w:rPr>
          <w:rFonts w:cs="Calibri"/>
          <w:color w:val="000000"/>
          <w:sz w:val="24"/>
          <w:szCs w:val="24"/>
          <w:vertAlign w:val="superscript"/>
        </w:rPr>
        <w:t>er</w:t>
      </w:r>
      <w:r w:rsidRPr="006255A2">
        <w:rPr>
          <w:rFonts w:cs="Calibri"/>
          <w:color w:val="000000"/>
          <w:sz w:val="24"/>
          <w:szCs w:val="24"/>
        </w:rPr>
        <w:t xml:space="preserve"> exercice régional sur carte de la NARC baptisé ''SALAM NORTH AFRICA'', premier dans l’histoire de la NARC et de l’UA, de part sa nature et son scénario qui consistait en une mission multidimensionnelle mandatée par le Conseil de Paix et de Sécurité de l’UA pour apporter une assistance humanitaire à une région sinistrée conformément aux concepts de la Force Africaine en Attente (FAA).</w:t>
      </w:r>
    </w:p>
    <w:p w:rsidR="006255A2" w:rsidRPr="006255A2" w:rsidRDefault="006255A2" w:rsidP="006255A2">
      <w:pPr>
        <w:numPr>
          <w:ilvl w:val="0"/>
          <w:numId w:val="9"/>
        </w:numPr>
        <w:spacing w:after="0" w:line="240" w:lineRule="auto"/>
        <w:ind w:left="426" w:right="-1"/>
        <w:jc w:val="both"/>
        <w:rPr>
          <w:rFonts w:cs="Calibri"/>
          <w:b/>
          <w:bCs/>
          <w:color w:val="000000"/>
          <w:sz w:val="24"/>
          <w:szCs w:val="24"/>
          <w:u w:val="single"/>
        </w:rPr>
      </w:pPr>
      <w:r w:rsidRPr="006255A2">
        <w:rPr>
          <w:rFonts w:cs="Calibri"/>
          <w:b/>
          <w:bCs/>
          <w:color w:val="000000"/>
          <w:sz w:val="24"/>
          <w:szCs w:val="24"/>
          <w:u w:val="single"/>
        </w:rPr>
        <w:t>Contribution financière</w:t>
      </w:r>
      <w:r w:rsidRPr="006255A2">
        <w:rPr>
          <w:rFonts w:cs="Calibri"/>
          <w:b/>
          <w:bCs/>
          <w:color w:val="000000"/>
          <w:sz w:val="24"/>
          <w:szCs w:val="24"/>
        </w:rPr>
        <w:t> :</w:t>
      </w:r>
    </w:p>
    <w:p w:rsidR="006255A2" w:rsidRPr="009513E3" w:rsidRDefault="006255A2" w:rsidP="006255A2">
      <w:pPr>
        <w:ind w:left="567" w:right="-1"/>
        <w:jc w:val="both"/>
        <w:rPr>
          <w:rFonts w:cs="Calibri"/>
          <w:color w:val="000000"/>
          <w:sz w:val="10"/>
          <w:szCs w:val="10"/>
        </w:rPr>
      </w:pPr>
    </w:p>
    <w:p w:rsidR="006255A2" w:rsidRPr="006255A2" w:rsidRDefault="00026226" w:rsidP="006255A2">
      <w:pPr>
        <w:ind w:right="-1"/>
        <w:jc w:val="both"/>
        <w:rPr>
          <w:rFonts w:cs="Calibri"/>
          <w:color w:val="000000"/>
          <w:sz w:val="24"/>
          <w:szCs w:val="24"/>
        </w:rPr>
      </w:pPr>
      <w:r>
        <w:rPr>
          <w:rFonts w:cs="Calibri"/>
          <w:color w:val="000000"/>
          <w:sz w:val="24"/>
          <w:szCs w:val="24"/>
        </w:rPr>
        <w:t xml:space="preserve">L’Algérie, </w:t>
      </w:r>
      <w:r w:rsidR="006255A2" w:rsidRPr="006255A2">
        <w:rPr>
          <w:rFonts w:cs="Calibri"/>
          <w:color w:val="000000"/>
          <w:sz w:val="24"/>
          <w:szCs w:val="24"/>
        </w:rPr>
        <w:t>dans le cadre du fonctionnement de la NARC, a procédé, au titre de sa quote-part, au paiement d’une somme de 2 millions USD pour de l’année de démarrage (en 2010). Cette somme a permis, par la suite, de couvrir les contributions annuelles de notre pays à ce jour.</w:t>
      </w:r>
    </w:p>
    <w:p w:rsidR="006255A2" w:rsidRPr="006255A2" w:rsidRDefault="006255A2" w:rsidP="00122C86">
      <w:pPr>
        <w:ind w:right="-1"/>
        <w:jc w:val="both"/>
        <w:rPr>
          <w:rFonts w:cs="Calibri"/>
          <w:color w:val="000000"/>
          <w:sz w:val="24"/>
          <w:szCs w:val="24"/>
        </w:rPr>
      </w:pPr>
      <w:r w:rsidRPr="006255A2">
        <w:rPr>
          <w:rFonts w:cs="Calibri"/>
          <w:color w:val="000000"/>
          <w:sz w:val="24"/>
          <w:szCs w:val="24"/>
        </w:rPr>
        <w:t xml:space="preserve">Dans l’objectif de l’opérationnalisation de cette </w:t>
      </w:r>
      <w:r w:rsidRPr="00122C86">
        <w:rPr>
          <w:rFonts w:cs="Calibri"/>
          <w:sz w:val="24"/>
          <w:szCs w:val="24"/>
        </w:rPr>
        <w:t xml:space="preserve">capacité, </w:t>
      </w:r>
      <w:r w:rsidR="00122C86" w:rsidRPr="00122C86">
        <w:rPr>
          <w:rFonts w:cs="Calibri"/>
          <w:sz w:val="24"/>
          <w:szCs w:val="24"/>
        </w:rPr>
        <w:t>notre pays</w:t>
      </w:r>
      <w:r w:rsidR="00122C86">
        <w:rPr>
          <w:rFonts w:cs="Calibri"/>
          <w:color w:val="FF0000"/>
          <w:sz w:val="24"/>
          <w:szCs w:val="24"/>
        </w:rPr>
        <w:t xml:space="preserve"> </w:t>
      </w:r>
      <w:r w:rsidRPr="006255A2">
        <w:rPr>
          <w:rFonts w:cs="Calibri"/>
          <w:color w:val="000000"/>
          <w:sz w:val="24"/>
          <w:szCs w:val="24"/>
        </w:rPr>
        <w:t>a participé à toutes les activités et ateliers de travail.</w:t>
      </w:r>
    </w:p>
    <w:p w:rsidR="006255A2" w:rsidRPr="006255A2" w:rsidRDefault="006255A2" w:rsidP="006255A2">
      <w:pPr>
        <w:ind w:right="-1"/>
        <w:jc w:val="both"/>
        <w:rPr>
          <w:rFonts w:cs="Calibri"/>
          <w:color w:val="000000"/>
          <w:sz w:val="24"/>
          <w:szCs w:val="24"/>
        </w:rPr>
      </w:pPr>
      <w:r w:rsidRPr="006255A2">
        <w:rPr>
          <w:rFonts w:cs="Calibri"/>
          <w:color w:val="000000"/>
          <w:sz w:val="24"/>
          <w:szCs w:val="24"/>
        </w:rPr>
        <w:lastRenderedPageBreak/>
        <w:t>D’ailleurs c’est dans le cadre de la NARC que l’Algérie, à travers la désignation d’un groupe d’officiers et de cadres supérieurs, a aussi pris part aux différentes étapes de l’exercice continental AMANI AFRICA II, tenu en 2015 à Lohatlha/Afrique du Sud et par lequel la Force Africaine en Attente (FAA) a été déclaré opérationnelle.</w:t>
      </w:r>
    </w:p>
    <w:p w:rsidR="006255A2" w:rsidRPr="006255A2" w:rsidRDefault="006255A2" w:rsidP="006255A2">
      <w:pPr>
        <w:ind w:right="-1"/>
        <w:jc w:val="both"/>
        <w:rPr>
          <w:rFonts w:cs="Calibri"/>
          <w:color w:val="000000"/>
          <w:sz w:val="24"/>
          <w:szCs w:val="24"/>
        </w:rPr>
      </w:pPr>
      <w:r w:rsidRPr="006255A2">
        <w:rPr>
          <w:rFonts w:cs="Calibri"/>
          <w:color w:val="000000"/>
          <w:sz w:val="24"/>
          <w:szCs w:val="24"/>
        </w:rPr>
        <w:t xml:space="preserve">S’agissant du transport aérien, l’Algérie a assuré, sur demande de </w:t>
      </w:r>
      <w:smartTag w:uri="urn:schemas-microsoft-com:office:smarttags" w:element="PersonName">
        <w:smartTagPr>
          <w:attr w:name="ProductID" w:val="la CUA"/>
        </w:smartTagPr>
        <w:r w:rsidRPr="006255A2">
          <w:rPr>
            <w:rFonts w:cs="Calibri"/>
            <w:color w:val="000000"/>
            <w:sz w:val="24"/>
            <w:szCs w:val="24"/>
          </w:rPr>
          <w:t>la CUA</w:t>
        </w:r>
      </w:smartTag>
      <w:r w:rsidRPr="006255A2">
        <w:rPr>
          <w:rFonts w:cs="Calibri"/>
          <w:color w:val="000000"/>
          <w:sz w:val="24"/>
          <w:szCs w:val="24"/>
        </w:rPr>
        <w:t xml:space="preserve">, le transport stratégique aérien au profit de l’UA. Des prestations en la matière demeurent non réglées à ce jour. </w:t>
      </w:r>
    </w:p>
    <w:p w:rsidR="006255A2" w:rsidRPr="006255A2" w:rsidRDefault="006255A2" w:rsidP="006255A2">
      <w:pPr>
        <w:ind w:right="-1"/>
        <w:jc w:val="both"/>
        <w:rPr>
          <w:rFonts w:cs="Calibri"/>
          <w:color w:val="000000"/>
          <w:sz w:val="24"/>
          <w:szCs w:val="24"/>
        </w:rPr>
      </w:pPr>
      <w:r w:rsidRPr="006255A2">
        <w:rPr>
          <w:rFonts w:cs="Calibri"/>
          <w:color w:val="000000"/>
          <w:sz w:val="24"/>
          <w:szCs w:val="24"/>
        </w:rPr>
        <w:t xml:space="preserve">Toutefois, la NARC n’arrive toujours pas à atteindre la capacité opérationnelle totale et ce, en raison de la situation sécuritaire qui prévaut dans certains pays de la Région.  </w:t>
      </w:r>
    </w:p>
    <w:p w:rsidR="006255A2" w:rsidRPr="006255A2" w:rsidRDefault="006255A2" w:rsidP="006255A2">
      <w:pPr>
        <w:ind w:right="-1"/>
        <w:jc w:val="both"/>
        <w:rPr>
          <w:rFonts w:cs="Calibri"/>
          <w:color w:val="000000"/>
          <w:sz w:val="24"/>
          <w:szCs w:val="24"/>
        </w:rPr>
      </w:pPr>
      <w:r w:rsidRPr="006255A2">
        <w:rPr>
          <w:rFonts w:cs="Calibri"/>
          <w:color w:val="000000"/>
          <w:sz w:val="24"/>
          <w:szCs w:val="24"/>
        </w:rPr>
        <w:t xml:space="preserve">Quant à la Capacité Africaine de Réponse Immédiate aux Crises (CARIC), l’Algérie figure parmi les Nations volontaires dès sa création en 2013 et a pris part, pratiquement, à toutes les activités qui y ont été organisées. Notre contribution à cette capacité se résume comme suit : </w:t>
      </w:r>
    </w:p>
    <w:p w:rsidR="006255A2" w:rsidRPr="006255A2" w:rsidRDefault="006255A2" w:rsidP="00660927">
      <w:pPr>
        <w:numPr>
          <w:ilvl w:val="0"/>
          <w:numId w:val="8"/>
        </w:numPr>
        <w:spacing w:after="0" w:line="240" w:lineRule="auto"/>
        <w:ind w:left="426" w:right="-1" w:hanging="207"/>
        <w:jc w:val="both"/>
        <w:rPr>
          <w:rFonts w:cs="Calibri"/>
          <w:bCs/>
          <w:sz w:val="24"/>
          <w:szCs w:val="24"/>
        </w:rPr>
      </w:pPr>
      <w:r w:rsidRPr="006255A2">
        <w:rPr>
          <w:rFonts w:cs="Calibri"/>
          <w:bCs/>
          <w:sz w:val="24"/>
          <w:szCs w:val="24"/>
        </w:rPr>
        <w:t>le Soutien logistique en transport aérien en cas de besoin réellement avéré, sur demande, au cas par cas et selon les capacités disponibles ;</w:t>
      </w:r>
    </w:p>
    <w:p w:rsidR="006255A2" w:rsidRPr="006255A2" w:rsidRDefault="006255A2" w:rsidP="006255A2">
      <w:pPr>
        <w:numPr>
          <w:ilvl w:val="0"/>
          <w:numId w:val="8"/>
        </w:numPr>
        <w:spacing w:after="0" w:line="240" w:lineRule="auto"/>
        <w:ind w:left="426" w:right="-1" w:hanging="207"/>
        <w:jc w:val="both"/>
        <w:rPr>
          <w:rFonts w:cs="Calibri"/>
          <w:bCs/>
          <w:sz w:val="24"/>
          <w:szCs w:val="24"/>
        </w:rPr>
      </w:pPr>
      <w:r w:rsidRPr="006255A2">
        <w:rPr>
          <w:rFonts w:cs="Calibri"/>
          <w:bCs/>
          <w:sz w:val="24"/>
          <w:szCs w:val="24"/>
        </w:rPr>
        <w:t>la formation, sur demande, au cas par cas et selon les capacités disponibles ;</w:t>
      </w:r>
    </w:p>
    <w:p w:rsidR="006255A2" w:rsidRDefault="006255A2" w:rsidP="00131516">
      <w:pPr>
        <w:numPr>
          <w:ilvl w:val="0"/>
          <w:numId w:val="8"/>
        </w:numPr>
        <w:spacing w:after="0" w:line="240" w:lineRule="auto"/>
        <w:ind w:left="426" w:right="-1" w:hanging="207"/>
        <w:jc w:val="both"/>
        <w:rPr>
          <w:rFonts w:cs="Calibri"/>
          <w:bCs/>
          <w:sz w:val="24"/>
          <w:szCs w:val="24"/>
        </w:rPr>
      </w:pPr>
      <w:r w:rsidRPr="006255A2">
        <w:rPr>
          <w:rFonts w:cs="Calibri"/>
          <w:bCs/>
          <w:sz w:val="24"/>
          <w:szCs w:val="24"/>
        </w:rPr>
        <w:t>l’échange de renseignements, sur demande.</w:t>
      </w:r>
    </w:p>
    <w:p w:rsidR="00026226" w:rsidRPr="00026226" w:rsidRDefault="00026226" w:rsidP="00026226">
      <w:pPr>
        <w:spacing w:after="0" w:line="240" w:lineRule="auto"/>
        <w:ind w:left="426" w:right="-1"/>
        <w:jc w:val="both"/>
        <w:rPr>
          <w:rFonts w:cs="Calibri"/>
          <w:bCs/>
          <w:sz w:val="16"/>
          <w:szCs w:val="16"/>
        </w:rPr>
      </w:pPr>
    </w:p>
    <w:p w:rsidR="006255A2" w:rsidRPr="006255A2" w:rsidRDefault="006255A2" w:rsidP="006255A2">
      <w:pPr>
        <w:ind w:right="-1"/>
        <w:jc w:val="both"/>
        <w:rPr>
          <w:rFonts w:cs="Calibri"/>
          <w:bCs/>
          <w:sz w:val="24"/>
          <w:szCs w:val="24"/>
        </w:rPr>
      </w:pPr>
      <w:r w:rsidRPr="006255A2">
        <w:rPr>
          <w:rFonts w:cs="Calibri"/>
          <w:bCs/>
          <w:sz w:val="24"/>
          <w:szCs w:val="24"/>
        </w:rPr>
        <w:t xml:space="preserve">Il convient de noter que lors la </w:t>
      </w:r>
      <w:r w:rsidRPr="006255A2">
        <w:rPr>
          <w:rFonts w:cs="Calibri"/>
          <w:sz w:val="24"/>
          <w:szCs w:val="24"/>
        </w:rPr>
        <w:t>4</w:t>
      </w:r>
      <w:r w:rsidRPr="006255A2">
        <w:rPr>
          <w:rFonts w:cs="Calibri"/>
          <w:sz w:val="24"/>
          <w:szCs w:val="24"/>
          <w:vertAlign w:val="superscript"/>
        </w:rPr>
        <w:t xml:space="preserve">éme </w:t>
      </w:r>
      <w:r w:rsidRPr="006255A2">
        <w:rPr>
          <w:rFonts w:cs="Calibri"/>
          <w:sz w:val="24"/>
          <w:szCs w:val="24"/>
        </w:rPr>
        <w:t xml:space="preserve">réunion des Ministres de la Défense des Nations Volontaires à la </w:t>
      </w:r>
      <w:r w:rsidRPr="006255A2">
        <w:rPr>
          <w:rFonts w:cs="Calibri"/>
          <w:color w:val="000000"/>
          <w:sz w:val="24"/>
          <w:szCs w:val="24"/>
        </w:rPr>
        <w:t>CARIC</w:t>
      </w:r>
      <w:r w:rsidRPr="006255A2">
        <w:rPr>
          <w:rFonts w:cs="Calibri"/>
          <w:sz w:val="24"/>
          <w:szCs w:val="24"/>
        </w:rPr>
        <w:t xml:space="preserve">, tenue du 31 août au 03 septembre 2019 à Pretoria/Afrique du Sud, il a été décidé de finaliser, </w:t>
      </w:r>
      <w:r w:rsidRPr="006255A2">
        <w:rPr>
          <w:rFonts w:cs="Calibri"/>
          <w:bCs/>
          <w:sz w:val="24"/>
          <w:szCs w:val="24"/>
        </w:rPr>
        <w:t xml:space="preserve">avant juin 2020, </w:t>
      </w:r>
      <w:r w:rsidRPr="006255A2">
        <w:rPr>
          <w:rFonts w:cs="Calibri"/>
          <w:sz w:val="24"/>
          <w:szCs w:val="24"/>
        </w:rPr>
        <w:t>le processus d’intégration de la CARIC dans le cadre de la Force Africaine en Attente (FAA)</w:t>
      </w:r>
      <w:r w:rsidRPr="006255A2">
        <w:rPr>
          <w:rFonts w:cs="Calibri"/>
          <w:bCs/>
          <w:sz w:val="24"/>
          <w:szCs w:val="24"/>
        </w:rPr>
        <w:t>.</w:t>
      </w:r>
    </w:p>
    <w:p w:rsidR="006255A2" w:rsidRDefault="006255A2" w:rsidP="006255A2">
      <w:pPr>
        <w:ind w:right="-1"/>
        <w:jc w:val="both"/>
        <w:rPr>
          <w:rFonts w:cs="Calibri"/>
          <w:bCs/>
          <w:sz w:val="24"/>
          <w:szCs w:val="24"/>
        </w:rPr>
      </w:pPr>
      <w:r w:rsidRPr="006255A2">
        <w:rPr>
          <w:rFonts w:cs="Calibri"/>
          <w:bCs/>
          <w:sz w:val="24"/>
          <w:szCs w:val="24"/>
        </w:rPr>
        <w:t>Dans un autre registre, l’Algérie et en réponse aux sollicitations de la CUA, a procédé, à sa charge, au détachement d’officiers pour exercer au niveau du Centre Continental de Coordination des Mouvements de l’UA et de la Cellule de la CARIC. D’autres officiers sont également détachés, à la charge de la Commission de l’Union Africaine, au niveau du Département Paix et Sécurité de l’Union Africaine.</w:t>
      </w:r>
    </w:p>
    <w:p w:rsidR="007E638F" w:rsidRPr="007E638F" w:rsidRDefault="007E638F" w:rsidP="006255A2">
      <w:pPr>
        <w:ind w:right="-1"/>
        <w:jc w:val="both"/>
        <w:rPr>
          <w:rFonts w:cs="Calibri"/>
          <w:bCs/>
          <w:sz w:val="6"/>
          <w:szCs w:val="6"/>
        </w:rPr>
      </w:pPr>
    </w:p>
    <w:p w:rsidR="0064140D" w:rsidRDefault="0064140D" w:rsidP="00207595">
      <w:pPr>
        <w:rPr>
          <w:b/>
          <w:bCs/>
          <w:sz w:val="24"/>
          <w:szCs w:val="24"/>
        </w:rPr>
      </w:pPr>
      <w:r w:rsidRPr="009513E3">
        <w:rPr>
          <w:b/>
          <w:bCs/>
          <w:sz w:val="24"/>
          <w:szCs w:val="24"/>
          <w:u w:val="single"/>
        </w:rPr>
        <w:t>ASPIRATION 5 :</w:t>
      </w:r>
      <w:r w:rsidRPr="001904FC">
        <w:rPr>
          <w:b/>
          <w:bCs/>
          <w:sz w:val="24"/>
          <w:szCs w:val="24"/>
        </w:rPr>
        <w:t xml:space="preserve"> UNE AFRIQUE A IDENTITE CULTURELLE FORTE, AYANT DES VALEURS, UNE ETHIQUE ET UN PATRIMOINE COMMUNS</w:t>
      </w:r>
    </w:p>
    <w:p w:rsidR="002A771A" w:rsidRPr="009513E3" w:rsidRDefault="002A771A" w:rsidP="002A771A">
      <w:pPr>
        <w:jc w:val="both"/>
        <w:rPr>
          <w:rFonts w:cs="Calibri"/>
          <w:b/>
          <w:bCs/>
          <w:sz w:val="24"/>
          <w:szCs w:val="24"/>
        </w:rPr>
      </w:pPr>
      <w:r w:rsidRPr="007E638F">
        <w:rPr>
          <w:rFonts w:cs="Calibri"/>
          <w:b/>
          <w:bCs/>
          <w:sz w:val="24"/>
          <w:szCs w:val="24"/>
          <w:u w:val="single"/>
        </w:rPr>
        <w:t>Objectif 16</w:t>
      </w:r>
      <w:r w:rsidRPr="009513E3">
        <w:rPr>
          <w:rFonts w:cs="Calibri"/>
          <w:b/>
          <w:bCs/>
          <w:sz w:val="24"/>
          <w:szCs w:val="24"/>
        </w:rPr>
        <w:t xml:space="preserve"> : Grande importance accordée à la renaissance culturelle africaine</w:t>
      </w:r>
    </w:p>
    <w:p w:rsidR="002A771A" w:rsidRPr="008E0A90" w:rsidRDefault="002A771A" w:rsidP="002A771A">
      <w:pPr>
        <w:ind w:right="-1"/>
        <w:jc w:val="both"/>
        <w:rPr>
          <w:rFonts w:ascii="Calibri Light" w:hAnsi="Calibri Light"/>
          <w:b/>
          <w:sz w:val="24"/>
          <w:szCs w:val="24"/>
        </w:rPr>
      </w:pPr>
      <w:r w:rsidRPr="008E0A90">
        <w:rPr>
          <w:rFonts w:ascii="Calibri Light" w:hAnsi="Calibri Light"/>
          <w:b/>
          <w:sz w:val="24"/>
          <w:szCs w:val="24"/>
        </w:rPr>
        <w:t xml:space="preserve">Le Grand Musée de l’Afrique </w:t>
      </w:r>
    </w:p>
    <w:p w:rsidR="00AB5DE5" w:rsidRPr="008E0A90" w:rsidRDefault="00AB5DE5" w:rsidP="00AB5DE5">
      <w:pPr>
        <w:ind w:right="-1"/>
        <w:jc w:val="both"/>
        <w:rPr>
          <w:rFonts w:ascii="Calibri Light" w:hAnsi="Calibri Light"/>
          <w:bCs/>
          <w:sz w:val="24"/>
          <w:szCs w:val="24"/>
        </w:rPr>
      </w:pPr>
      <w:r w:rsidRPr="008E0A90">
        <w:rPr>
          <w:rFonts w:ascii="Calibri Light" w:hAnsi="Calibri Light"/>
          <w:bCs/>
          <w:sz w:val="24"/>
          <w:szCs w:val="24"/>
        </w:rPr>
        <w:t>La création en Algérie du Grand Musée de l’Afrique (GMA), l’un des programmes phares du premier plan décennal de l’Agenda 2063 de l’Union africaine, été décidée, lors de la 1ère Conférence de l’UA en charge de la Culture, tenue en décembre 2005, à Nairobi-Kenya et, approuvée par la Conférence des Chefs d’État et de Gouvernement de l’UA, à l’occasion de sa 8ème session Ordinaire, tenue en janvier 2006, à Khartoum-Soudan.</w:t>
      </w:r>
    </w:p>
    <w:p w:rsidR="00AB5DE5" w:rsidRPr="008E0A90" w:rsidRDefault="00AB5DE5" w:rsidP="00AB5DE5">
      <w:pPr>
        <w:ind w:right="-1"/>
        <w:jc w:val="both"/>
        <w:rPr>
          <w:rFonts w:ascii="Calibri Light" w:hAnsi="Calibri Light"/>
          <w:bCs/>
          <w:sz w:val="24"/>
          <w:szCs w:val="24"/>
        </w:rPr>
      </w:pPr>
      <w:r w:rsidRPr="008E0A90">
        <w:rPr>
          <w:rFonts w:ascii="Calibri Light" w:hAnsi="Calibri Light"/>
          <w:bCs/>
          <w:sz w:val="24"/>
          <w:szCs w:val="24"/>
        </w:rPr>
        <w:t xml:space="preserve">Cette initiative inscrite au titre des projets phares de la première décennie de mise en œuvre de l’Agenda 2063 de l’UA, est une illustration parfaite des efforts africains visant à protéger et à promouvoir le patrimoine culturel africain, la culture et le savoir endogène africain. </w:t>
      </w:r>
    </w:p>
    <w:p w:rsidR="00AB5DE5" w:rsidRPr="008E0A90" w:rsidRDefault="00AB5DE5" w:rsidP="00AB5DE5">
      <w:pPr>
        <w:ind w:right="-1"/>
        <w:jc w:val="both"/>
        <w:rPr>
          <w:rFonts w:ascii="Calibri Light" w:hAnsi="Calibri Light"/>
          <w:bCs/>
          <w:sz w:val="24"/>
          <w:szCs w:val="24"/>
        </w:rPr>
      </w:pPr>
      <w:r w:rsidRPr="008E0A90">
        <w:rPr>
          <w:rFonts w:ascii="Calibri Light" w:hAnsi="Calibri Light"/>
          <w:bCs/>
          <w:sz w:val="24"/>
          <w:szCs w:val="24"/>
        </w:rPr>
        <w:lastRenderedPageBreak/>
        <w:t>Le  Grand Musée  de l’Afrique apportera un apport de taille à  la  civilisation  mondiale  dans  sa dimension  humaine, et mettra l’accent sur contribution historique de l’Afrique, berceau de l’humanité, tout en s’inscrivant dans le cadre d’une démarche futuriste et moderniste.</w:t>
      </w:r>
    </w:p>
    <w:p w:rsidR="00AB5DE5" w:rsidRPr="008E0A90" w:rsidRDefault="00AB5DE5" w:rsidP="00AB5DE5">
      <w:pPr>
        <w:ind w:right="-1"/>
        <w:jc w:val="both"/>
        <w:rPr>
          <w:rFonts w:ascii="Calibri Light" w:hAnsi="Calibri Light"/>
          <w:bCs/>
          <w:sz w:val="24"/>
          <w:szCs w:val="24"/>
        </w:rPr>
      </w:pPr>
      <w:r w:rsidRPr="008E0A90">
        <w:rPr>
          <w:rFonts w:ascii="Calibri Light" w:hAnsi="Calibri Light"/>
          <w:bCs/>
          <w:sz w:val="24"/>
          <w:szCs w:val="24"/>
        </w:rPr>
        <w:t>L’Algérie en tant que pays hôte préside le Comité Technique et Consultatif du Grand Musée d’Afrique, chargée d’élaborer une feuille de route pour le lancement du Grand Musée d’Afrique, et de développer une stratégie de mobilisation des ressources financières et des contributions en nature au Grand musée.</w:t>
      </w:r>
    </w:p>
    <w:p w:rsidR="00AB5DE5" w:rsidRDefault="00AB5DE5" w:rsidP="00D07845">
      <w:pPr>
        <w:ind w:right="-1"/>
        <w:jc w:val="both"/>
        <w:rPr>
          <w:rFonts w:ascii="Calibri Light" w:hAnsi="Calibri Light"/>
          <w:bCs/>
          <w:sz w:val="24"/>
          <w:szCs w:val="24"/>
        </w:rPr>
      </w:pPr>
      <w:r w:rsidRPr="008E0A90">
        <w:rPr>
          <w:rFonts w:ascii="Calibri Light" w:hAnsi="Calibri Light"/>
          <w:bCs/>
          <w:sz w:val="24"/>
          <w:szCs w:val="24"/>
        </w:rPr>
        <w:t>Le processus engagé pour le lancement de ce projet a enregistré des avancées considérables devant permettre de finaliser et de signer l’Accord de siège, d’ici mars 2020</w:t>
      </w:r>
      <w:r w:rsidR="00D07845">
        <w:rPr>
          <w:rFonts w:ascii="Calibri Light" w:hAnsi="Calibri Light"/>
          <w:bCs/>
          <w:sz w:val="24"/>
          <w:szCs w:val="24"/>
        </w:rPr>
        <w:t>. L’</w:t>
      </w:r>
      <w:r w:rsidRPr="008E0A90">
        <w:rPr>
          <w:rFonts w:ascii="Calibri Light" w:hAnsi="Calibri Light"/>
          <w:bCs/>
          <w:sz w:val="24"/>
          <w:szCs w:val="24"/>
        </w:rPr>
        <w:t>Algérie poursuit ses efforts conjointement avec les membres du Comité technique et Consultatif pour hâter le processus de mobilisation des ressources financières nécessaires pour la concrétisation de ce projet.</w:t>
      </w:r>
    </w:p>
    <w:p w:rsidR="007E638F" w:rsidRPr="007E638F" w:rsidRDefault="007E638F" w:rsidP="00D07845">
      <w:pPr>
        <w:ind w:right="-1"/>
        <w:jc w:val="both"/>
        <w:rPr>
          <w:rFonts w:ascii="Calibri Light" w:hAnsi="Calibri Light"/>
          <w:bCs/>
          <w:sz w:val="8"/>
          <w:szCs w:val="2"/>
        </w:rPr>
      </w:pPr>
    </w:p>
    <w:p w:rsidR="00822B2F" w:rsidRPr="001904FC" w:rsidRDefault="00822B2F" w:rsidP="007E638F">
      <w:pPr>
        <w:jc w:val="both"/>
        <w:rPr>
          <w:b/>
          <w:bCs/>
          <w:sz w:val="24"/>
          <w:szCs w:val="24"/>
        </w:rPr>
      </w:pPr>
      <w:r w:rsidRPr="009513E3">
        <w:rPr>
          <w:b/>
          <w:bCs/>
          <w:sz w:val="24"/>
          <w:szCs w:val="24"/>
          <w:u w:val="single"/>
        </w:rPr>
        <w:t>ASPIRATION 6</w:t>
      </w:r>
      <w:r w:rsidRPr="001904FC">
        <w:rPr>
          <w:b/>
          <w:bCs/>
          <w:sz w:val="24"/>
          <w:szCs w:val="24"/>
        </w:rPr>
        <w:t> : UNE AFRIQUE DONT LE DEVELOPPEMENT EST AXE SUR SES CITOYENS, PUISANT DANS LE POTENTIEL DE SES POPULATIONS</w:t>
      </w:r>
    </w:p>
    <w:p w:rsidR="000003BE" w:rsidRPr="009513E3" w:rsidRDefault="000003BE" w:rsidP="009513E3">
      <w:pPr>
        <w:jc w:val="both"/>
        <w:rPr>
          <w:rFonts w:cs="Calibri"/>
          <w:b/>
          <w:bCs/>
          <w:sz w:val="24"/>
          <w:szCs w:val="24"/>
        </w:rPr>
      </w:pPr>
      <w:r w:rsidRPr="007E638F">
        <w:rPr>
          <w:rFonts w:cs="Calibri"/>
          <w:b/>
          <w:bCs/>
          <w:sz w:val="24"/>
          <w:szCs w:val="24"/>
          <w:u w:val="single"/>
        </w:rPr>
        <w:t>Objectif 17</w:t>
      </w:r>
      <w:r w:rsidRPr="009513E3">
        <w:rPr>
          <w:rFonts w:cs="Calibri"/>
          <w:b/>
          <w:bCs/>
          <w:sz w:val="24"/>
          <w:szCs w:val="24"/>
        </w:rPr>
        <w:t xml:space="preserve">:Egalite totale entre les hommes et les femmes dons tous les domaines </w:t>
      </w:r>
      <w:r w:rsidR="009513E3">
        <w:rPr>
          <w:rFonts w:cs="Calibri"/>
          <w:b/>
          <w:bCs/>
          <w:sz w:val="24"/>
          <w:szCs w:val="24"/>
        </w:rPr>
        <w:t xml:space="preserve">              </w:t>
      </w:r>
      <w:r w:rsidRPr="009513E3">
        <w:rPr>
          <w:rFonts w:cs="Calibri"/>
          <w:b/>
          <w:bCs/>
          <w:sz w:val="24"/>
          <w:szCs w:val="24"/>
        </w:rPr>
        <w:t>de la vie.</w:t>
      </w:r>
    </w:p>
    <w:p w:rsidR="000003BE" w:rsidRPr="009513E3" w:rsidRDefault="000003BE" w:rsidP="00FD0B90">
      <w:pPr>
        <w:jc w:val="both"/>
        <w:rPr>
          <w:rFonts w:cs="Calibri"/>
          <w:b/>
          <w:bCs/>
          <w:sz w:val="24"/>
          <w:szCs w:val="24"/>
          <w:u w:val="single"/>
        </w:rPr>
      </w:pPr>
      <w:r w:rsidRPr="009513E3">
        <w:rPr>
          <w:rFonts w:cs="Calibri"/>
          <w:b/>
          <w:bCs/>
          <w:sz w:val="24"/>
          <w:szCs w:val="24"/>
          <w:u w:val="single"/>
        </w:rPr>
        <w:t>1-Autonomisation des femmes</w:t>
      </w:r>
    </w:p>
    <w:p w:rsidR="000003BE" w:rsidRPr="008E0A90" w:rsidRDefault="000003BE" w:rsidP="00FD0B90">
      <w:pPr>
        <w:jc w:val="both"/>
        <w:rPr>
          <w:rFonts w:cs="Calibri"/>
          <w:sz w:val="24"/>
          <w:szCs w:val="24"/>
        </w:rPr>
      </w:pPr>
      <w:r w:rsidRPr="008E0A90">
        <w:rPr>
          <w:rFonts w:cs="Calibri"/>
          <w:sz w:val="24"/>
          <w:szCs w:val="24"/>
        </w:rPr>
        <w:t>Le principe de la non-discrimination dans toute sa dimension trouve sa pleine traduction dans les dispositi</w:t>
      </w:r>
      <w:r w:rsidR="00AB5DE5" w:rsidRPr="008E0A90">
        <w:rPr>
          <w:rFonts w:cs="Calibri"/>
          <w:sz w:val="24"/>
          <w:szCs w:val="24"/>
        </w:rPr>
        <w:t>ons des articles suivants de la loi n°16-01</w:t>
      </w:r>
      <w:r w:rsidRPr="008E0A90">
        <w:rPr>
          <w:rFonts w:cs="Calibri"/>
          <w:sz w:val="24"/>
          <w:szCs w:val="24"/>
        </w:rPr>
        <w:t xml:space="preserve"> du  6 mars  2016  portant  révision  constitutionnelle  qui stipule que:</w:t>
      </w:r>
    </w:p>
    <w:p w:rsidR="000003BE" w:rsidRPr="008E0A90" w:rsidRDefault="000003BE" w:rsidP="00FD0B90">
      <w:pPr>
        <w:jc w:val="both"/>
        <w:rPr>
          <w:rFonts w:cs="Calibri"/>
          <w:sz w:val="24"/>
          <w:szCs w:val="24"/>
        </w:rPr>
      </w:pPr>
      <w:r w:rsidRPr="008E0A90">
        <w:rPr>
          <w:rFonts w:cs="Calibri"/>
          <w:sz w:val="24"/>
          <w:szCs w:val="24"/>
        </w:rPr>
        <w:t>« Les citoyens sont égaux devant la loi, sans que puisse prévaloir aucune discrimination pour  cause de  naissance,  de  race,  de  sexe, d'opinion  ou de toutes  autres  conditions  ou circonstance  personnelle ou sociale » (Art 32} ;</w:t>
      </w:r>
    </w:p>
    <w:p w:rsidR="000003BE" w:rsidRPr="008E0A90" w:rsidRDefault="000003BE" w:rsidP="00FD0B90">
      <w:pPr>
        <w:jc w:val="both"/>
        <w:rPr>
          <w:rFonts w:cs="Calibri"/>
          <w:sz w:val="24"/>
          <w:szCs w:val="24"/>
        </w:rPr>
      </w:pPr>
      <w:r w:rsidRPr="008E0A90">
        <w:rPr>
          <w:rFonts w:cs="Calibri"/>
          <w:sz w:val="24"/>
          <w:szCs w:val="24"/>
        </w:rPr>
        <w:t>« L'Etat œuvre a la promotion des droits politiques de la femme en augmentant   ses chances   d'accès   a   la    représentation   dans   les assemblées élus... » (Art 35) ;</w:t>
      </w:r>
    </w:p>
    <w:p w:rsidR="000003BE" w:rsidRPr="008E0A90" w:rsidRDefault="000003BE" w:rsidP="00FD0B90">
      <w:pPr>
        <w:jc w:val="both"/>
        <w:rPr>
          <w:rFonts w:cs="Calibri"/>
          <w:sz w:val="24"/>
          <w:szCs w:val="24"/>
        </w:rPr>
      </w:pPr>
      <w:r w:rsidRPr="008E0A90">
        <w:rPr>
          <w:rFonts w:cs="Calibri"/>
          <w:sz w:val="24"/>
          <w:szCs w:val="24"/>
        </w:rPr>
        <w:t xml:space="preserve">« L'Etat œuvre à promouvoir la parité entre les hommes et les femmes sur le marché de l'emploi. L’Etat encourage la promotion de la </w:t>
      </w:r>
      <w:r w:rsidR="00AB5DE5" w:rsidRPr="008E0A90">
        <w:rPr>
          <w:rFonts w:cs="Calibri"/>
          <w:sz w:val="24"/>
          <w:szCs w:val="24"/>
        </w:rPr>
        <w:t>femme aux</w:t>
      </w:r>
      <w:r w:rsidRPr="008E0A90">
        <w:rPr>
          <w:rFonts w:cs="Calibri"/>
          <w:sz w:val="24"/>
          <w:szCs w:val="24"/>
        </w:rPr>
        <w:t xml:space="preserve"> responsabilités dans les institutions et administrations publiques ainsi qu'au niveau des entreprises » (Art 36) ;</w:t>
      </w:r>
    </w:p>
    <w:p w:rsidR="000003BE" w:rsidRPr="008E0A90" w:rsidRDefault="000003BE" w:rsidP="00FD0B90">
      <w:pPr>
        <w:jc w:val="both"/>
        <w:rPr>
          <w:rFonts w:cs="Calibri"/>
          <w:sz w:val="24"/>
          <w:szCs w:val="24"/>
        </w:rPr>
      </w:pPr>
      <w:r w:rsidRPr="008E0A90">
        <w:rPr>
          <w:rFonts w:cs="Calibri"/>
          <w:sz w:val="24"/>
          <w:szCs w:val="24"/>
        </w:rPr>
        <w:t>Par ailleurs, il y’a lieu d’indiquer que notre législation du travail s’inspire des conventions internationales du travail que notre pays à ratifies.</w:t>
      </w:r>
    </w:p>
    <w:p w:rsidR="000003BE" w:rsidRPr="008E0A90" w:rsidRDefault="000003BE" w:rsidP="00FD0B90">
      <w:pPr>
        <w:jc w:val="both"/>
        <w:rPr>
          <w:rFonts w:cs="Calibri"/>
          <w:sz w:val="24"/>
          <w:szCs w:val="24"/>
        </w:rPr>
      </w:pPr>
      <w:r w:rsidRPr="008E0A90">
        <w:rPr>
          <w:rFonts w:cs="Calibri"/>
          <w:sz w:val="24"/>
          <w:szCs w:val="24"/>
        </w:rPr>
        <w:t xml:space="preserve">Pour le cas de la discrimination et de l’égalité de rémunération notre pays a ratifié 60 </w:t>
      </w:r>
      <w:r w:rsidR="00233E5E" w:rsidRPr="008E0A90">
        <w:rPr>
          <w:rFonts w:cs="Calibri"/>
          <w:sz w:val="24"/>
          <w:szCs w:val="24"/>
        </w:rPr>
        <w:t>conventions</w:t>
      </w:r>
      <w:r w:rsidRPr="008E0A90">
        <w:rPr>
          <w:rFonts w:cs="Calibri"/>
          <w:sz w:val="24"/>
          <w:szCs w:val="24"/>
        </w:rPr>
        <w:t>. Parmi les quelles la convention n°100 sur l’Egalite de rémunération et la n°111 concernant la discrimination (emploi et profession).</w:t>
      </w:r>
    </w:p>
    <w:p w:rsidR="000003BE" w:rsidRPr="008E0A90" w:rsidRDefault="000003BE" w:rsidP="00C42445">
      <w:pPr>
        <w:jc w:val="both"/>
        <w:rPr>
          <w:rFonts w:cs="Calibri"/>
          <w:sz w:val="24"/>
          <w:szCs w:val="24"/>
        </w:rPr>
      </w:pPr>
      <w:r w:rsidRPr="008E0A90">
        <w:rPr>
          <w:rFonts w:cs="Calibri"/>
          <w:sz w:val="24"/>
          <w:szCs w:val="24"/>
        </w:rPr>
        <w:t xml:space="preserve">Les rémunérations versées par les organismes employeurs en Algérie sont celles fixées pour chaque poste de travail, elles ne sont pas déterminées par rapport au sexe du travailleur (hommes ou femmes) occupant les postes de travail, que ce soit dans le secteur de la fonction publique ou dans le secteur </w:t>
      </w:r>
      <w:r w:rsidR="00C42445" w:rsidRPr="008E0A90">
        <w:rPr>
          <w:rFonts w:cs="Calibri"/>
          <w:sz w:val="24"/>
          <w:szCs w:val="24"/>
        </w:rPr>
        <w:t>é</w:t>
      </w:r>
      <w:r w:rsidRPr="008E0A90">
        <w:rPr>
          <w:rFonts w:cs="Calibri"/>
          <w:sz w:val="24"/>
          <w:szCs w:val="24"/>
        </w:rPr>
        <w:t>cono</w:t>
      </w:r>
      <w:r w:rsidR="00C42445" w:rsidRPr="008E0A90">
        <w:rPr>
          <w:rFonts w:cs="Calibri"/>
          <w:sz w:val="24"/>
          <w:szCs w:val="24"/>
        </w:rPr>
        <w:t>m</w:t>
      </w:r>
      <w:r w:rsidRPr="008E0A90">
        <w:rPr>
          <w:rFonts w:cs="Calibri"/>
          <w:sz w:val="24"/>
          <w:szCs w:val="24"/>
        </w:rPr>
        <w:t>ique.</w:t>
      </w:r>
    </w:p>
    <w:p w:rsidR="000003BE" w:rsidRPr="008E0A90" w:rsidRDefault="000003BE" w:rsidP="00C42445">
      <w:pPr>
        <w:jc w:val="both"/>
        <w:rPr>
          <w:rFonts w:cs="Calibri"/>
          <w:sz w:val="24"/>
          <w:szCs w:val="24"/>
        </w:rPr>
      </w:pPr>
      <w:r w:rsidRPr="008E0A90">
        <w:rPr>
          <w:rFonts w:cs="Calibri"/>
          <w:sz w:val="24"/>
          <w:szCs w:val="24"/>
        </w:rPr>
        <w:lastRenderedPageBreak/>
        <w:t>Enfin, l'infraction aux dispositions de l'article 17 de la loi 90-11 précitée entraine des sanctions prévues par la même loi. Ces sanctions ont été relevées de manière conséquent</w:t>
      </w:r>
      <w:r w:rsidR="00C42445" w:rsidRPr="008E0A90">
        <w:rPr>
          <w:rFonts w:cs="Calibri"/>
          <w:sz w:val="24"/>
          <w:szCs w:val="24"/>
        </w:rPr>
        <w:t>e</w:t>
      </w:r>
      <w:r w:rsidRPr="008E0A90">
        <w:rPr>
          <w:rFonts w:cs="Calibri"/>
          <w:sz w:val="24"/>
          <w:szCs w:val="24"/>
        </w:rPr>
        <w:t xml:space="preserve"> </w:t>
      </w:r>
      <w:r w:rsidR="00AB5DE5" w:rsidRPr="008E0A90">
        <w:rPr>
          <w:rFonts w:cs="Calibri"/>
          <w:sz w:val="24"/>
          <w:szCs w:val="24"/>
        </w:rPr>
        <w:t>par la</w:t>
      </w:r>
      <w:r w:rsidRPr="008E0A90">
        <w:rPr>
          <w:rFonts w:cs="Calibri"/>
          <w:sz w:val="24"/>
          <w:szCs w:val="24"/>
        </w:rPr>
        <w:t xml:space="preserve">  loi  n°17-11 du 27 décembre  2017, portant loi de finances pour 2018.</w:t>
      </w:r>
    </w:p>
    <w:p w:rsidR="000003BE" w:rsidRPr="008E0A90" w:rsidRDefault="000003BE" w:rsidP="00C42445">
      <w:pPr>
        <w:jc w:val="both"/>
        <w:rPr>
          <w:rFonts w:cs="Calibri"/>
          <w:sz w:val="24"/>
          <w:szCs w:val="24"/>
        </w:rPr>
      </w:pPr>
      <w:r w:rsidRPr="008E0A90">
        <w:rPr>
          <w:rFonts w:cs="Calibri"/>
          <w:sz w:val="24"/>
          <w:szCs w:val="24"/>
        </w:rPr>
        <w:t>Le regain d’intérêt des femmes et des jeunes pour le secteur agricole.  Actuellement, l’on recense environ 60.000 agricultrices détentrices de cartes professionnelles et bénéficiaires d’actes de concession ou de propriétés de terres agricoles, contre 46.290 en 2013 soit un taux d'évolution de 30% entre 2013 et 2019, et de plus en plus de jeunes, reprenant les activités de leurs parents ou lancés dans des Start up dédiées à relever des défis dans le secteur agricole au sens large</w:t>
      </w:r>
      <w:r w:rsidR="00AB5DE5" w:rsidRPr="008E0A90">
        <w:rPr>
          <w:rFonts w:cs="Calibri"/>
          <w:sz w:val="24"/>
          <w:szCs w:val="24"/>
        </w:rPr>
        <w:t>.</w:t>
      </w:r>
    </w:p>
    <w:p w:rsidR="000003BE" w:rsidRPr="008E0A90" w:rsidRDefault="000003BE" w:rsidP="00FD0B90">
      <w:pPr>
        <w:jc w:val="both"/>
        <w:rPr>
          <w:rFonts w:cs="Calibri"/>
          <w:sz w:val="24"/>
          <w:szCs w:val="24"/>
        </w:rPr>
      </w:pPr>
      <w:r w:rsidRPr="008E0A90">
        <w:rPr>
          <w:rFonts w:cs="Calibri"/>
          <w:sz w:val="24"/>
          <w:szCs w:val="24"/>
        </w:rPr>
        <w:t xml:space="preserve">Les modalités pratiques de mise en œuvre de cette nouvelle disposition constitutionnelle ont été définies dans le cadre du processus de réformes politiques engagées dans le Pays, depuis début 2011, à travers la Loi organique n° 12-03 du 12 janvier 2012, fixant les modalités augmentant les chances d’accès de la femme à la représentation dans les assemblées élues, mais aussi, à travers la Loi organique n° 12-04 du 12 janvier 2012, relative aux partis politiques. </w:t>
      </w:r>
    </w:p>
    <w:p w:rsidR="000003BE" w:rsidRPr="008E0A90" w:rsidRDefault="000003BE" w:rsidP="00FD0B90">
      <w:pPr>
        <w:jc w:val="both"/>
        <w:rPr>
          <w:rFonts w:cs="Calibri"/>
          <w:sz w:val="24"/>
          <w:szCs w:val="24"/>
        </w:rPr>
      </w:pPr>
      <w:r w:rsidRPr="008E0A90">
        <w:rPr>
          <w:rFonts w:cs="Calibri"/>
          <w:sz w:val="24"/>
          <w:szCs w:val="24"/>
        </w:rPr>
        <w:t>Ce nouveau dispositif a permis de consacrer le principe de quota, allant de 20% à 50% du nombre des sièges, réservés aux femmes dans les assemblées élues.</w:t>
      </w:r>
    </w:p>
    <w:p w:rsidR="000003BE" w:rsidRPr="008E0A90" w:rsidRDefault="000003BE" w:rsidP="00FD0B90">
      <w:pPr>
        <w:jc w:val="both"/>
        <w:rPr>
          <w:rFonts w:cs="Calibri"/>
          <w:sz w:val="24"/>
          <w:szCs w:val="24"/>
        </w:rPr>
      </w:pPr>
      <w:r w:rsidRPr="008E0A90">
        <w:rPr>
          <w:rFonts w:cs="Calibri"/>
          <w:sz w:val="24"/>
          <w:szCs w:val="24"/>
        </w:rPr>
        <w:t>Aussi, cette nouvelle Loi organique stipule clairement que ′′Toute liste de candidats établie en violation de ses dispositions (Sans prévoir les proportions de sièges à réserver aux femmes, définies par son article 2), est rejetée′′ (Article 5).</w:t>
      </w:r>
    </w:p>
    <w:p w:rsidR="000003BE" w:rsidRPr="008E0A90" w:rsidRDefault="000003BE" w:rsidP="00FD0B90">
      <w:pPr>
        <w:jc w:val="both"/>
        <w:rPr>
          <w:rFonts w:cs="Calibri"/>
          <w:sz w:val="24"/>
          <w:szCs w:val="24"/>
        </w:rPr>
      </w:pPr>
      <w:r w:rsidRPr="008E0A90">
        <w:rPr>
          <w:rFonts w:cs="Calibri"/>
          <w:sz w:val="24"/>
          <w:szCs w:val="24"/>
        </w:rPr>
        <w:t>Quant à la Loi organique n° 12-04 du 12 janvier 2012, relative aux partis politiques, elle a assigné au parti politique la mission de « promouvoir les droits politiques de la femme », et a introduit de nouvelles dispositions et mesures, pour permettre le renforcement de la présence et de l’activisme de la femme au sein des partis politiques, notamment à travers :</w:t>
      </w:r>
    </w:p>
    <w:p w:rsidR="000003BE" w:rsidRPr="008E0A90" w:rsidRDefault="000003BE" w:rsidP="00FD0B90">
      <w:pPr>
        <w:jc w:val="both"/>
        <w:rPr>
          <w:rFonts w:cs="Calibri"/>
          <w:sz w:val="24"/>
          <w:szCs w:val="24"/>
        </w:rPr>
      </w:pPr>
      <w:r w:rsidRPr="008E0A90">
        <w:rPr>
          <w:rFonts w:cs="Calibri"/>
          <w:sz w:val="24"/>
          <w:szCs w:val="24"/>
        </w:rPr>
        <w:t>L’exigence d’une proportion représentative de femmes, parmi les membres fondateurs des nouveaux partis politiques (art 17).</w:t>
      </w:r>
    </w:p>
    <w:p w:rsidR="000003BE" w:rsidRPr="008E0A90" w:rsidRDefault="000003BE" w:rsidP="00FD0B90">
      <w:pPr>
        <w:jc w:val="both"/>
        <w:rPr>
          <w:rFonts w:cs="Calibri"/>
          <w:sz w:val="24"/>
          <w:szCs w:val="24"/>
        </w:rPr>
      </w:pPr>
      <w:r w:rsidRPr="008E0A90">
        <w:rPr>
          <w:rFonts w:cs="Calibri"/>
          <w:sz w:val="24"/>
          <w:szCs w:val="24"/>
        </w:rPr>
        <w:t>L’exigence de la présence d’une proportion représentative de femmes parmi les participants au congrès (congressistes) du parti politique (art 24).</w:t>
      </w:r>
    </w:p>
    <w:p w:rsidR="000003BE" w:rsidRPr="008E0A90" w:rsidRDefault="000003BE" w:rsidP="00FD0B90">
      <w:pPr>
        <w:jc w:val="both"/>
        <w:rPr>
          <w:rFonts w:cs="Calibri"/>
          <w:sz w:val="24"/>
          <w:szCs w:val="24"/>
        </w:rPr>
      </w:pPr>
      <w:r w:rsidRPr="008E0A90">
        <w:rPr>
          <w:rFonts w:cs="Calibri"/>
          <w:sz w:val="24"/>
          <w:szCs w:val="24"/>
        </w:rPr>
        <w:t xml:space="preserve">L’exigence de la présence d’une proportion de femmes au sein des instances dirigeantes du parti politique et que cette condition soit clairement énoncée dans les statuts du parti (art 35 et 41).      </w:t>
      </w:r>
    </w:p>
    <w:p w:rsidR="000003BE" w:rsidRDefault="000003BE" w:rsidP="00FD0B90">
      <w:pPr>
        <w:jc w:val="both"/>
        <w:rPr>
          <w:rFonts w:cs="Calibri"/>
          <w:sz w:val="24"/>
          <w:szCs w:val="24"/>
        </w:rPr>
      </w:pPr>
      <w:r w:rsidRPr="008E0A90">
        <w:rPr>
          <w:rFonts w:cs="Calibri"/>
          <w:sz w:val="24"/>
          <w:szCs w:val="24"/>
        </w:rPr>
        <w:t>Aussi, la Loi organique n° 12-04 du 12 janvier 2012, relative aux partis politiques, a prévu des mesures incitatives aux partis politiques, afin qu’ils œuvrent à promouvoir davantage la participation politique de la femme, en leur octroyant des subventions financières supplémentaires, inscrites au budget de l’Etat et calculées sur la base du nombre de leurs élues (femmes) dans les assemblées élues.</w:t>
      </w:r>
    </w:p>
    <w:p w:rsidR="007E638F" w:rsidRPr="008E0A90" w:rsidRDefault="007E638F" w:rsidP="00FD0B90">
      <w:pPr>
        <w:jc w:val="both"/>
        <w:rPr>
          <w:rFonts w:cs="Calibri"/>
          <w:sz w:val="24"/>
          <w:szCs w:val="24"/>
        </w:rPr>
      </w:pPr>
    </w:p>
    <w:p w:rsidR="00AB5DE5" w:rsidRPr="008E0A90" w:rsidRDefault="00AB5DE5" w:rsidP="00AB5DE5">
      <w:pPr>
        <w:jc w:val="both"/>
        <w:rPr>
          <w:rFonts w:cs="Calibri"/>
          <w:b/>
          <w:bCs/>
          <w:sz w:val="24"/>
          <w:szCs w:val="24"/>
        </w:rPr>
      </w:pPr>
      <w:r w:rsidRPr="008E0A90">
        <w:rPr>
          <w:rFonts w:cs="Calibri"/>
          <w:b/>
          <w:bCs/>
          <w:sz w:val="24"/>
          <w:szCs w:val="24"/>
          <w:u w:val="single"/>
        </w:rPr>
        <w:lastRenderedPageBreak/>
        <w:t>Sièges occupés par les femmes dans les parlements nationaux et les administrations locales</w:t>
      </w:r>
      <w:r w:rsidRPr="008E0A90">
        <w:rPr>
          <w:rFonts w:cs="Calibri"/>
          <w:b/>
          <w:bCs/>
          <w:sz w:val="24"/>
          <w:szCs w:val="24"/>
        </w:rPr>
        <w:t>.</w:t>
      </w:r>
    </w:p>
    <w:p w:rsidR="00AB5DE5" w:rsidRPr="008E0A90" w:rsidRDefault="00AB5DE5" w:rsidP="00AB5DE5">
      <w:pPr>
        <w:jc w:val="both"/>
        <w:rPr>
          <w:rFonts w:cs="Calibri"/>
          <w:sz w:val="24"/>
          <w:szCs w:val="24"/>
        </w:rPr>
      </w:pPr>
      <w:r w:rsidRPr="008E0A90">
        <w:rPr>
          <w:rFonts w:cs="Calibri"/>
          <w:sz w:val="24"/>
          <w:szCs w:val="24"/>
        </w:rPr>
        <w:t xml:space="preserve">Le taux de sièges occupés par des femmes lors de la dernière législature de l’Assemblée Populaire Nationale a atteint 29%. </w:t>
      </w:r>
    </w:p>
    <w:p w:rsidR="00AB5DE5" w:rsidRPr="008E0A90" w:rsidRDefault="00AB5DE5" w:rsidP="00AB5DE5">
      <w:pPr>
        <w:jc w:val="both"/>
        <w:rPr>
          <w:rFonts w:cs="Calibri"/>
          <w:b/>
          <w:bCs/>
          <w:sz w:val="24"/>
          <w:szCs w:val="24"/>
          <w:u w:val="single"/>
        </w:rPr>
      </w:pPr>
      <w:r w:rsidRPr="008E0A90">
        <w:rPr>
          <w:rFonts w:cs="Calibri"/>
          <w:b/>
          <w:bCs/>
          <w:sz w:val="24"/>
          <w:szCs w:val="24"/>
          <w:u w:val="single"/>
        </w:rPr>
        <w:t xml:space="preserve">Des femmes occupant des postes de direction </w:t>
      </w:r>
    </w:p>
    <w:p w:rsidR="00AB5DE5" w:rsidRPr="008E0A90" w:rsidRDefault="00AB5DE5" w:rsidP="00AB5DE5">
      <w:pPr>
        <w:jc w:val="both"/>
        <w:rPr>
          <w:rFonts w:cs="Calibri"/>
          <w:sz w:val="24"/>
          <w:szCs w:val="24"/>
        </w:rPr>
      </w:pPr>
      <w:r w:rsidRPr="008E0A90">
        <w:rPr>
          <w:rFonts w:cs="Calibri"/>
          <w:sz w:val="24"/>
          <w:szCs w:val="24"/>
        </w:rPr>
        <w:t xml:space="preserve">La Constitution Algérienne clarifie la hiérarchie des normes et consacre le principe de primauté des Conventions internationales sur les lois nationales dans son article 132. En 1996, l’Algérie a ratifié (en émettant des réserves) la Convention sur l'élimination de toutes les formes de discrimination à l'égard des femmes (1979), qui contient dans son article 7 des engagements relatifs à la vie politique et publique et dans son article 8, des engagements relatifs à la représentation. En outre elle prévoit des mesures de discriminations positives invitant les Etats à mettre en œuvre des mesures spéciales et à caractère temporaire, jusqu’à la concrétisation des objectifs en matière d’égalité, tel que la parité dans la représentation politique. En 2004, l’Algérie a ratifié aussi la Convention sur les droits politiques des femmes. En termes de politique nationale et d’orientation, le Plan d’Action du gouvernement 2015‐2020 invite à « renforcer le statut de la femme, l’adapter aux droits que lui confèrent la constitution et la loi, pour promouvoir son rôle aux plans politique, économique et social ». </w:t>
      </w:r>
    </w:p>
    <w:p w:rsidR="00AB5DE5" w:rsidRDefault="00AB5DE5" w:rsidP="00AB5DE5">
      <w:pPr>
        <w:jc w:val="both"/>
        <w:rPr>
          <w:rFonts w:cs="Calibri"/>
          <w:sz w:val="24"/>
          <w:szCs w:val="24"/>
        </w:rPr>
      </w:pPr>
      <w:r w:rsidRPr="008E0A90">
        <w:rPr>
          <w:rFonts w:cs="Calibri"/>
          <w:sz w:val="24"/>
          <w:szCs w:val="24"/>
        </w:rPr>
        <w:t xml:space="preserve">L’amendement constitutionnel de 2016 a également consacré dans son Art. 36. Le principe de la parité entre les hommes et les femmes sur le marché de l'emploi, et la promotion de la femme aux responsabilités dans les institutions et administrations publiques.  </w:t>
      </w:r>
    </w:p>
    <w:p w:rsidR="000003BE" w:rsidRPr="009513E3" w:rsidRDefault="000003BE" w:rsidP="00FD0B90">
      <w:pPr>
        <w:jc w:val="both"/>
        <w:rPr>
          <w:rFonts w:cs="Calibri"/>
          <w:b/>
          <w:bCs/>
          <w:sz w:val="24"/>
          <w:szCs w:val="24"/>
        </w:rPr>
      </w:pPr>
      <w:r w:rsidRPr="007E638F">
        <w:rPr>
          <w:rFonts w:cs="Calibri"/>
          <w:b/>
          <w:bCs/>
          <w:sz w:val="24"/>
          <w:szCs w:val="24"/>
          <w:u w:val="single"/>
        </w:rPr>
        <w:t>Objectif 18 :</w:t>
      </w:r>
      <w:r w:rsidRPr="009513E3">
        <w:rPr>
          <w:rFonts w:cs="Calibri"/>
          <w:b/>
          <w:bCs/>
          <w:sz w:val="24"/>
          <w:szCs w:val="24"/>
        </w:rPr>
        <w:t xml:space="preserve"> Engagement et autonomisation des jeunes et droits des </w:t>
      </w:r>
      <w:r w:rsidR="00AB5DE5" w:rsidRPr="009513E3">
        <w:rPr>
          <w:rFonts w:cs="Calibri"/>
          <w:b/>
          <w:bCs/>
          <w:sz w:val="24"/>
          <w:szCs w:val="24"/>
        </w:rPr>
        <w:t>enfants :</w:t>
      </w:r>
    </w:p>
    <w:p w:rsidR="000003BE" w:rsidRPr="008E0A90" w:rsidRDefault="000003BE" w:rsidP="00FD0B90">
      <w:pPr>
        <w:jc w:val="both"/>
        <w:rPr>
          <w:rFonts w:cs="Calibri"/>
          <w:sz w:val="24"/>
          <w:szCs w:val="24"/>
        </w:rPr>
      </w:pPr>
      <w:r w:rsidRPr="008E0A90">
        <w:rPr>
          <w:rFonts w:cs="Calibri"/>
          <w:sz w:val="24"/>
          <w:szCs w:val="24"/>
        </w:rPr>
        <w:t>Concernant l’élimination du travail des enfants sous toutes ces formes, l’objectif fixé par l’agenda 2063 est Presque atteint dans notre pays, ou le travail des enfants est un élément résiduel est très marginal</w:t>
      </w:r>
    </w:p>
    <w:p w:rsidR="000003BE" w:rsidRPr="008E0A90" w:rsidRDefault="000003BE" w:rsidP="00FD0B90">
      <w:pPr>
        <w:jc w:val="both"/>
        <w:rPr>
          <w:rFonts w:cs="Calibri"/>
          <w:sz w:val="24"/>
          <w:szCs w:val="24"/>
        </w:rPr>
      </w:pPr>
      <w:r w:rsidRPr="008E0A90">
        <w:rPr>
          <w:rFonts w:cs="Calibri"/>
          <w:sz w:val="24"/>
          <w:szCs w:val="24"/>
        </w:rPr>
        <w:t>Principaux éléments de la politique et de la stratégie développée par L’Algérie en matière de lutte contre le travail des enfants :</w:t>
      </w:r>
    </w:p>
    <w:p w:rsidR="000003BE" w:rsidRPr="008E0A90" w:rsidRDefault="000003BE" w:rsidP="00FD0B90">
      <w:pPr>
        <w:jc w:val="both"/>
        <w:rPr>
          <w:rFonts w:cs="Calibri"/>
          <w:sz w:val="24"/>
          <w:szCs w:val="24"/>
        </w:rPr>
      </w:pPr>
      <w:r w:rsidRPr="008E0A90">
        <w:rPr>
          <w:rFonts w:cs="Calibri"/>
          <w:sz w:val="24"/>
          <w:szCs w:val="24"/>
        </w:rPr>
        <w:t>L’Algérie à développer un vaste programme de promotion et de protection de l'enfance, et la lutte contre le travail des enfants n'en est qu'un aspect. Les principaux axes portent essentiellement sur :</w:t>
      </w:r>
    </w:p>
    <w:p w:rsidR="000003BE" w:rsidRPr="008E0A90" w:rsidRDefault="000003BE" w:rsidP="00FD0B90">
      <w:pPr>
        <w:jc w:val="both"/>
        <w:rPr>
          <w:rFonts w:cs="Calibri"/>
          <w:sz w:val="24"/>
          <w:szCs w:val="24"/>
        </w:rPr>
      </w:pPr>
      <w:r w:rsidRPr="008E0A90">
        <w:rPr>
          <w:rFonts w:cs="Calibri"/>
          <w:sz w:val="24"/>
          <w:szCs w:val="24"/>
        </w:rPr>
        <w:t>1- Conventions internationales :</w:t>
      </w:r>
    </w:p>
    <w:p w:rsidR="000003BE" w:rsidRPr="008E0A90" w:rsidRDefault="000003BE" w:rsidP="00FD0B90">
      <w:pPr>
        <w:jc w:val="both"/>
        <w:rPr>
          <w:rFonts w:cs="Calibri"/>
          <w:sz w:val="24"/>
          <w:szCs w:val="24"/>
        </w:rPr>
      </w:pPr>
      <w:r w:rsidRPr="008E0A90">
        <w:rPr>
          <w:rFonts w:cs="Calibri"/>
          <w:sz w:val="24"/>
          <w:szCs w:val="24"/>
        </w:rPr>
        <w:t>L’Algérie est signataire de cinq (05) conventions internationales pour la lutte contre le travail des enfants à savoir :</w:t>
      </w:r>
    </w:p>
    <w:p w:rsidR="000003BE" w:rsidRPr="008E0A90" w:rsidRDefault="000003BE" w:rsidP="00FD0B90">
      <w:pPr>
        <w:jc w:val="both"/>
        <w:rPr>
          <w:rFonts w:cs="Calibri"/>
          <w:sz w:val="24"/>
          <w:szCs w:val="24"/>
        </w:rPr>
      </w:pPr>
      <w:r w:rsidRPr="008E0A90">
        <w:rPr>
          <w:rFonts w:cs="Calibri"/>
          <w:sz w:val="24"/>
          <w:szCs w:val="24"/>
        </w:rPr>
        <w:t>1.  La C 006 sur le travail de nuit des enfants,</w:t>
      </w:r>
    </w:p>
    <w:p w:rsidR="000003BE" w:rsidRPr="008E0A90" w:rsidRDefault="000003BE" w:rsidP="00FD0B90">
      <w:pPr>
        <w:jc w:val="both"/>
        <w:rPr>
          <w:rFonts w:cs="Calibri"/>
          <w:sz w:val="24"/>
          <w:szCs w:val="24"/>
        </w:rPr>
      </w:pPr>
      <w:r w:rsidRPr="008E0A90">
        <w:rPr>
          <w:rFonts w:cs="Calibri"/>
          <w:sz w:val="24"/>
          <w:szCs w:val="24"/>
        </w:rPr>
        <w:t>2.  La C 010 sur l’âge minimum dans l'agriculture,</w:t>
      </w:r>
    </w:p>
    <w:p w:rsidR="000003BE" w:rsidRPr="008E0A90" w:rsidRDefault="000003BE" w:rsidP="00FD0B90">
      <w:pPr>
        <w:jc w:val="both"/>
        <w:rPr>
          <w:rFonts w:cs="Calibri"/>
          <w:sz w:val="24"/>
          <w:szCs w:val="24"/>
        </w:rPr>
      </w:pPr>
      <w:r w:rsidRPr="008E0A90">
        <w:rPr>
          <w:rFonts w:cs="Calibri"/>
          <w:sz w:val="24"/>
          <w:szCs w:val="24"/>
        </w:rPr>
        <w:t>3. La C sur l’âge minimum dans le travail maritime,</w:t>
      </w:r>
    </w:p>
    <w:p w:rsidR="000003BE" w:rsidRPr="008E0A90" w:rsidRDefault="000003BE" w:rsidP="00FD0B90">
      <w:pPr>
        <w:jc w:val="both"/>
        <w:rPr>
          <w:rFonts w:cs="Calibri"/>
          <w:sz w:val="24"/>
          <w:szCs w:val="24"/>
        </w:rPr>
      </w:pPr>
      <w:r w:rsidRPr="008E0A90">
        <w:rPr>
          <w:rFonts w:cs="Calibri"/>
          <w:sz w:val="24"/>
          <w:szCs w:val="24"/>
        </w:rPr>
        <w:t>4.  La C138 sur l’âge minimum,</w:t>
      </w:r>
    </w:p>
    <w:p w:rsidR="000003BE" w:rsidRPr="008E0A90" w:rsidRDefault="000003BE" w:rsidP="00FD0B90">
      <w:pPr>
        <w:jc w:val="both"/>
        <w:rPr>
          <w:rFonts w:cs="Calibri"/>
          <w:sz w:val="24"/>
          <w:szCs w:val="24"/>
        </w:rPr>
      </w:pPr>
      <w:r w:rsidRPr="008E0A90">
        <w:rPr>
          <w:rFonts w:cs="Calibri"/>
          <w:sz w:val="24"/>
          <w:szCs w:val="24"/>
        </w:rPr>
        <w:lastRenderedPageBreak/>
        <w:t>5. La Convention 182 sur les pires formes de travail des enfants.</w:t>
      </w:r>
    </w:p>
    <w:p w:rsidR="000003BE" w:rsidRPr="008E0A90" w:rsidRDefault="000003BE" w:rsidP="00FD0B90">
      <w:pPr>
        <w:jc w:val="both"/>
        <w:rPr>
          <w:rFonts w:cs="Calibri"/>
          <w:sz w:val="24"/>
          <w:szCs w:val="24"/>
        </w:rPr>
      </w:pPr>
      <w:r w:rsidRPr="008E0A90">
        <w:rPr>
          <w:rFonts w:cs="Calibri"/>
          <w:sz w:val="24"/>
          <w:szCs w:val="24"/>
        </w:rPr>
        <w:t>Egalement la législation Algérienne a prévu une règlementation à travers :</w:t>
      </w:r>
    </w:p>
    <w:p w:rsidR="000003BE" w:rsidRPr="008E0A90" w:rsidRDefault="000003BE" w:rsidP="00FD0B90">
      <w:pPr>
        <w:jc w:val="both"/>
        <w:rPr>
          <w:rFonts w:cs="Calibri"/>
          <w:sz w:val="24"/>
          <w:szCs w:val="24"/>
        </w:rPr>
      </w:pPr>
      <w:r w:rsidRPr="008E0A90">
        <w:rPr>
          <w:rFonts w:cs="Calibri"/>
          <w:sz w:val="24"/>
          <w:szCs w:val="24"/>
        </w:rPr>
        <w:t>- La loi relative aux relations de travail qui fixe l’âge légal au travail a 16 ans révolus (Loi 90-11), et des pénalités sont prévues en cas de non-respect de ces prescriptions.  Des dispositions de la LFC de 2015 ont renforcé de manière significative les sanctions dans le cadre de la lutte contre le travail des enfants.</w:t>
      </w:r>
    </w:p>
    <w:p w:rsidR="000003BE" w:rsidRPr="008E0A90" w:rsidRDefault="000003BE" w:rsidP="00FD0B90">
      <w:pPr>
        <w:jc w:val="both"/>
        <w:rPr>
          <w:rFonts w:cs="Calibri"/>
          <w:sz w:val="24"/>
          <w:szCs w:val="24"/>
        </w:rPr>
      </w:pPr>
      <w:r w:rsidRPr="008E0A90">
        <w:rPr>
          <w:rFonts w:cs="Calibri"/>
          <w:sz w:val="24"/>
          <w:szCs w:val="24"/>
        </w:rPr>
        <w:t>Par ailleurs, la loi des finances de 2018 consacre une aggravation de toutes les sanctions portant sur la santé et sécurité des jeunes travailleurs</w:t>
      </w:r>
    </w:p>
    <w:p w:rsidR="000003BE" w:rsidRPr="008E0A90" w:rsidRDefault="000003BE" w:rsidP="00FD0B90">
      <w:pPr>
        <w:jc w:val="both"/>
        <w:rPr>
          <w:rFonts w:cs="Calibri"/>
          <w:sz w:val="24"/>
          <w:szCs w:val="24"/>
        </w:rPr>
      </w:pPr>
      <w:r w:rsidRPr="008E0A90">
        <w:rPr>
          <w:rFonts w:cs="Calibri"/>
          <w:sz w:val="24"/>
          <w:szCs w:val="24"/>
        </w:rPr>
        <w:t>- D'autres dispositions protègent la moralité et la dignité du jeune travailleur {Travail de nuit {Loi 90-11), protection de la santé et sécurité au travail (Loi 88-07)</w:t>
      </w:r>
    </w:p>
    <w:p w:rsidR="000003BE" w:rsidRPr="008E0A90" w:rsidRDefault="000003BE" w:rsidP="00FD0B90">
      <w:pPr>
        <w:jc w:val="both"/>
        <w:rPr>
          <w:rFonts w:cs="Calibri"/>
          <w:sz w:val="24"/>
          <w:szCs w:val="24"/>
        </w:rPr>
      </w:pPr>
      <w:r w:rsidRPr="008E0A90">
        <w:rPr>
          <w:rFonts w:cs="Calibri"/>
          <w:sz w:val="24"/>
          <w:szCs w:val="24"/>
        </w:rPr>
        <w:t>Egalement, et dans le cadre de la mise en place d’une stratégie de veille, une commission intersectorielle est installée depuis   2003.Cette commission avait pour   mission d’assurer la coordination portant sur tous les aspects sectoriels en matière de contrôle et de sensibilisation pour la lutte contre le travail des enfants. Douze (12) secteurs sont présent dans cette commission, qui élabore des programmes annuels à adopter et exécutés</w:t>
      </w:r>
    </w:p>
    <w:p w:rsidR="000003BE" w:rsidRPr="008E0A90" w:rsidRDefault="000003BE" w:rsidP="00FD0B90">
      <w:pPr>
        <w:jc w:val="both"/>
        <w:rPr>
          <w:rFonts w:cs="Calibri"/>
          <w:sz w:val="24"/>
          <w:szCs w:val="24"/>
        </w:rPr>
      </w:pPr>
      <w:r w:rsidRPr="008E0A90">
        <w:rPr>
          <w:rFonts w:cs="Calibri"/>
          <w:sz w:val="24"/>
          <w:szCs w:val="24"/>
        </w:rPr>
        <w:t>L'obligation de la scolarisation des enfants [jusqu’à l’âge de 16 ans avec la gratuite de l'école, le développèrent d'un système de formation professionnel et enfin la présence de multiples dispositifs d'aide à la formation contribuent de manière active à la prévention contre le travail des enfants.</w:t>
      </w:r>
    </w:p>
    <w:p w:rsidR="000003BE" w:rsidRPr="008E0A90" w:rsidRDefault="000003BE" w:rsidP="00FD0B90">
      <w:pPr>
        <w:jc w:val="both"/>
        <w:rPr>
          <w:rFonts w:cs="Calibri"/>
          <w:sz w:val="24"/>
          <w:szCs w:val="24"/>
        </w:rPr>
      </w:pPr>
      <w:r w:rsidRPr="008E0A90">
        <w:rPr>
          <w:rFonts w:cs="Calibri"/>
          <w:sz w:val="24"/>
          <w:szCs w:val="24"/>
        </w:rPr>
        <w:t>La tendance globale du phénomène du travail des enfants est très faible en Algérie et les pires forme</w:t>
      </w:r>
      <w:r w:rsidR="00173B68" w:rsidRPr="008E0A90">
        <w:rPr>
          <w:rFonts w:cs="Calibri"/>
          <w:sz w:val="24"/>
          <w:szCs w:val="24"/>
        </w:rPr>
        <w:t>s</w:t>
      </w:r>
      <w:r w:rsidRPr="008E0A90">
        <w:rPr>
          <w:rFonts w:cs="Calibri"/>
          <w:sz w:val="24"/>
          <w:szCs w:val="24"/>
        </w:rPr>
        <w:t xml:space="preserve"> de travail des enfants (Implication des enfants dans des conflits armés et leur exploitation à des fins criminelles et sexuelles </w:t>
      </w:r>
      <w:r w:rsidR="00AB5DE5" w:rsidRPr="008E0A90">
        <w:rPr>
          <w:rFonts w:cs="Calibri"/>
          <w:sz w:val="24"/>
          <w:szCs w:val="24"/>
        </w:rPr>
        <w:t>etc…</w:t>
      </w:r>
      <w:r w:rsidRPr="008E0A90">
        <w:rPr>
          <w:rFonts w:cs="Calibri"/>
          <w:sz w:val="24"/>
          <w:szCs w:val="24"/>
        </w:rPr>
        <w:t>.)</w:t>
      </w:r>
      <w:r w:rsidR="00173B68" w:rsidRPr="008E0A90">
        <w:rPr>
          <w:rFonts w:cs="Calibri"/>
          <w:sz w:val="24"/>
          <w:szCs w:val="24"/>
        </w:rPr>
        <w:t xml:space="preserve"> </w:t>
      </w:r>
      <w:r w:rsidRPr="008E0A90">
        <w:rPr>
          <w:rFonts w:cs="Calibri"/>
          <w:sz w:val="24"/>
          <w:szCs w:val="24"/>
        </w:rPr>
        <w:t>ne font pas partie de notre société; mais ceci n’empêche pas de développer des politiques et stratégies préventives et de veille afin de maintenir ces tendances.</w:t>
      </w:r>
    </w:p>
    <w:p w:rsidR="000003BE" w:rsidRPr="009513E3" w:rsidRDefault="000003BE" w:rsidP="00FD0B90">
      <w:pPr>
        <w:jc w:val="both"/>
        <w:rPr>
          <w:rFonts w:cs="Calibri"/>
          <w:b/>
          <w:bCs/>
          <w:sz w:val="24"/>
          <w:szCs w:val="24"/>
          <w:u w:val="single"/>
        </w:rPr>
      </w:pPr>
      <w:r w:rsidRPr="009513E3">
        <w:rPr>
          <w:rFonts w:cs="Calibri"/>
          <w:b/>
          <w:bCs/>
          <w:sz w:val="24"/>
          <w:szCs w:val="24"/>
          <w:u w:val="single"/>
        </w:rPr>
        <w:t xml:space="preserve">Charte africaine des droits de la jeunesse </w:t>
      </w:r>
    </w:p>
    <w:p w:rsidR="000003BE" w:rsidRPr="008E0A90" w:rsidRDefault="000003BE" w:rsidP="00FD0B90">
      <w:pPr>
        <w:jc w:val="both"/>
        <w:rPr>
          <w:rFonts w:cs="Calibri"/>
          <w:sz w:val="24"/>
          <w:szCs w:val="24"/>
        </w:rPr>
      </w:pPr>
      <w:r w:rsidRPr="008E0A90">
        <w:rPr>
          <w:rFonts w:cs="Calibri"/>
          <w:sz w:val="24"/>
          <w:szCs w:val="24"/>
        </w:rPr>
        <w:t>L’Algérie garantit une vie digne et décente à tous ses citoyens, surtout aux jeunes, en assurant leur pleine participation aux efforts et aux fruits du développement. Les jeunes sont impliqués, à tous les niveaux, dans les processus de prise de décisions, leur donnant ainsi les moyens, la place, la possibilité et le soutien voulus pour participer aux décisions relatives aux questions qui les concernent tout en les impliquant dans la mise en œuvre, le suivi et l’évaluation des politiques de la Jeunesse.</w:t>
      </w:r>
    </w:p>
    <w:p w:rsidR="000003BE" w:rsidRPr="008E0A90" w:rsidRDefault="000003BE" w:rsidP="00FD0B90">
      <w:pPr>
        <w:jc w:val="both"/>
        <w:rPr>
          <w:rFonts w:cs="Calibri"/>
          <w:sz w:val="24"/>
          <w:szCs w:val="24"/>
        </w:rPr>
      </w:pPr>
      <w:r w:rsidRPr="008E0A90">
        <w:rPr>
          <w:rFonts w:cs="Calibri"/>
          <w:sz w:val="24"/>
          <w:szCs w:val="24"/>
        </w:rPr>
        <w:t xml:space="preserve">Concernant le secteur Jeunesse, l’Etat a déployé des moyens financiers, humains et matériels considérables. Ces efforts se traduisent par la dimension de l’offre en matière de programmes, de dispositifs, d’infrastructures de Jeunesse et de Sports ainsi que d’aide et de subventions octroyés au mouvement sportif et de jeunesse, intégrant ainsi les principes et les fondements de la Charte africaine de la Jeunesse selon ses prérogatives. Dans le cadre de la contribution du secteur de la Jeunesse et des Sports à la mise en œuvre de la Charte africaine de la Jeunesse, il faut signaler que, chaque année, une large vulgarisation de la </w:t>
      </w:r>
      <w:r w:rsidRPr="008E0A90">
        <w:rPr>
          <w:rFonts w:cs="Calibri"/>
          <w:sz w:val="24"/>
          <w:szCs w:val="24"/>
        </w:rPr>
        <w:lastRenderedPageBreak/>
        <w:t>Charte africaine de la Jeunesse est assurée auprès des jeunes à l’occasion de la célébration de la Journée de la Jeunesse africaine (coïncidant avec le novembre de chaque année).</w:t>
      </w:r>
    </w:p>
    <w:p w:rsidR="000003BE" w:rsidRPr="008E0A90" w:rsidRDefault="000003BE" w:rsidP="00FD0B90">
      <w:pPr>
        <w:jc w:val="both"/>
        <w:rPr>
          <w:rFonts w:cs="Calibri"/>
          <w:sz w:val="24"/>
          <w:szCs w:val="24"/>
        </w:rPr>
      </w:pPr>
      <w:r w:rsidRPr="008E0A90">
        <w:rPr>
          <w:rFonts w:cs="Calibri"/>
          <w:sz w:val="24"/>
          <w:szCs w:val="24"/>
        </w:rPr>
        <w:t>Le secteur de la Jeunesse, par la dimension transversale du dossier Jeunesse, intègre d’autres programmes et mécanismes intersectoriels destinés aux jeunes. Par exemple :la campagne d’information et de sensibilisation sur la promotion des droits de l’enfant, la lutte contre les violences à l’égard de la jeune fille et de la femme en coopération avec le Ministère de la Solidarité Nationale, de la Famille et de la Condition de la Femme, la campagne de reboisement pour la préservation de l’environnement avec d’autres ministères.</w:t>
      </w:r>
    </w:p>
    <w:p w:rsidR="000003BE" w:rsidRPr="008E0A90" w:rsidRDefault="000003BE" w:rsidP="00FD0B90">
      <w:pPr>
        <w:jc w:val="both"/>
        <w:rPr>
          <w:rFonts w:cs="Calibri"/>
          <w:sz w:val="24"/>
          <w:szCs w:val="24"/>
        </w:rPr>
      </w:pPr>
      <w:r w:rsidRPr="008E0A90">
        <w:rPr>
          <w:rFonts w:cs="Calibri"/>
          <w:sz w:val="24"/>
          <w:szCs w:val="24"/>
        </w:rPr>
        <w:t>Dans le cadre de la création d’un mécanisme national de coordination des jeunes, les efforts consentis ont eu comme résultat la publication du décret présidentiel n° 17-142 du 21radjab 1438 correspondant au 18 avril 2017 fixant la composition, l’organisation et le fonctionnement du Conseil Supérieur de la Jeunesse stipulant que cet organisme est chargé de formuler des avis et des recommandations au sujet des questions relatives aux besoins de la Jeunesse ainsi qu’à son épanouissement dans les domaines économique, social, culturel et sportif et de contribuer à la promotion, au sein de la Jeunesse, des valeurs nationales, de la conscience patriotique, de l’esprit civique et de la solidarité sociale et de la prise de conscience interculturelle à travers des programmes d’échanges entre les jeunes et les organisations de jeunes.</w:t>
      </w:r>
    </w:p>
    <w:p w:rsidR="000003BE" w:rsidRPr="008E0A90" w:rsidRDefault="000003BE" w:rsidP="00FD0B90">
      <w:pPr>
        <w:jc w:val="both"/>
        <w:rPr>
          <w:rFonts w:cs="Calibri"/>
          <w:sz w:val="24"/>
          <w:szCs w:val="24"/>
        </w:rPr>
      </w:pPr>
      <w:r w:rsidRPr="008E0A90">
        <w:rPr>
          <w:rFonts w:cs="Calibri"/>
          <w:sz w:val="24"/>
          <w:szCs w:val="24"/>
        </w:rPr>
        <w:t>Pour faire face à l’ampleur de la délinquance, de la toxicomanie, de l’alcoolisme et des autres maux sociaux en milieu de jeunes ainsi que les difficultés psychologiques inhérent à cette frange de la population (échecs répétés, manque ou perte de confiance en soi, rapports difficiles avec la famille, exclusion scolaire, chômage, etc., un diapositif santé-jeunes a été mis en place durant les années 90 par le Ministère de la Jeunesse et des Sports.</w:t>
      </w:r>
    </w:p>
    <w:p w:rsidR="000003BE" w:rsidRPr="008E0A90" w:rsidRDefault="000003BE" w:rsidP="00FD0B90">
      <w:pPr>
        <w:jc w:val="both"/>
        <w:rPr>
          <w:rFonts w:cs="Calibri"/>
          <w:sz w:val="24"/>
          <w:szCs w:val="24"/>
        </w:rPr>
      </w:pPr>
      <w:r w:rsidRPr="008E0A90">
        <w:rPr>
          <w:rFonts w:cs="Calibri"/>
          <w:sz w:val="24"/>
          <w:szCs w:val="24"/>
        </w:rPr>
        <w:t>Ce programme tend à répondre à la préoccupation essentielle de mettre les jeunes à l’abri des fléaux sociaux ou de les en sortir par la promotion de leur santé, leur soutien et leur aide dans tous les domaines qui les concernant, leur orientation dans les choix qu’ils sont appelés à faire notamment dans les aspects liés à la formation, la vie professionnelle, les activités culturelles, sportives…</w:t>
      </w:r>
    </w:p>
    <w:p w:rsidR="000003BE" w:rsidRPr="008E0A90" w:rsidRDefault="000003BE" w:rsidP="00FD0B90">
      <w:pPr>
        <w:jc w:val="both"/>
        <w:rPr>
          <w:rFonts w:cs="Calibri"/>
          <w:sz w:val="24"/>
          <w:szCs w:val="24"/>
        </w:rPr>
      </w:pPr>
      <w:r w:rsidRPr="008E0A90">
        <w:rPr>
          <w:rFonts w:cs="Calibri"/>
          <w:sz w:val="24"/>
          <w:szCs w:val="24"/>
        </w:rPr>
        <w:t>Ce dispositif qui prend l’appellation cellules d’écoute de prévention santé jeunes développe des programmes qui reposent exclusivement sur la prévention, le dépistage, le soutien psychologique, des jeunes par l’accueil, l’écoute, l’information et l’orientation en liaison avec les autres secteurs concernés.</w:t>
      </w:r>
    </w:p>
    <w:p w:rsidR="000003BE" w:rsidRDefault="00624EE1" w:rsidP="00122C86">
      <w:pPr>
        <w:jc w:val="both"/>
        <w:rPr>
          <w:rFonts w:cs="Calibri"/>
          <w:b/>
          <w:bCs/>
          <w:sz w:val="24"/>
          <w:szCs w:val="24"/>
          <w:u w:val="single"/>
        </w:rPr>
      </w:pPr>
      <w:r>
        <w:rPr>
          <w:rFonts w:cs="Calibri"/>
          <w:b/>
          <w:bCs/>
          <w:sz w:val="24"/>
          <w:szCs w:val="24"/>
          <w:u w:val="single"/>
        </w:rPr>
        <w:t>Enseignement supérieur et Recherche Scientifique</w:t>
      </w:r>
      <w:r w:rsidR="000003BE" w:rsidRPr="008E0A90">
        <w:rPr>
          <w:rFonts w:cs="Calibri"/>
          <w:b/>
          <w:bCs/>
          <w:sz w:val="24"/>
          <w:szCs w:val="24"/>
          <w:u w:val="single"/>
        </w:rPr>
        <w:t>:</w:t>
      </w:r>
    </w:p>
    <w:p w:rsidR="00A901BE" w:rsidRDefault="002912F9" w:rsidP="00BE2521">
      <w:pPr>
        <w:jc w:val="both"/>
        <w:rPr>
          <w:rFonts w:cs="Calibri"/>
          <w:sz w:val="24"/>
          <w:szCs w:val="24"/>
        </w:rPr>
      </w:pPr>
      <w:r>
        <w:rPr>
          <w:rFonts w:cs="Calibri"/>
          <w:sz w:val="24"/>
          <w:szCs w:val="24"/>
        </w:rPr>
        <w:t>L’Algérie s’est engagée de tout temps dans une politique de développement économique et soci</w:t>
      </w:r>
      <w:r w:rsidR="00D25AEB">
        <w:rPr>
          <w:rFonts w:cs="Calibri"/>
          <w:sz w:val="24"/>
          <w:szCs w:val="24"/>
        </w:rPr>
        <w:t>ale soutenue, et a mis en avant</w:t>
      </w:r>
      <w:r>
        <w:rPr>
          <w:rFonts w:cs="Calibri"/>
          <w:sz w:val="24"/>
          <w:szCs w:val="24"/>
        </w:rPr>
        <w:t xml:space="preserve"> l’importance </w:t>
      </w:r>
      <w:r w:rsidR="00907409">
        <w:rPr>
          <w:rFonts w:cs="Calibri"/>
          <w:sz w:val="24"/>
          <w:szCs w:val="24"/>
        </w:rPr>
        <w:t>d</w:t>
      </w:r>
      <w:r w:rsidR="00A901BE">
        <w:rPr>
          <w:rFonts w:cs="Calibri"/>
          <w:sz w:val="24"/>
          <w:szCs w:val="24"/>
        </w:rPr>
        <w:t>e l’enseignement supérieur comme levier de développement</w:t>
      </w:r>
      <w:r w:rsidR="00BE2521">
        <w:rPr>
          <w:rFonts w:cs="Calibri"/>
          <w:sz w:val="24"/>
          <w:szCs w:val="24"/>
        </w:rPr>
        <w:t>, du progrès et du bien-être</w:t>
      </w:r>
      <w:r w:rsidR="00A901BE">
        <w:rPr>
          <w:rFonts w:cs="Calibri"/>
          <w:sz w:val="24"/>
          <w:szCs w:val="24"/>
        </w:rPr>
        <w:t>.</w:t>
      </w:r>
    </w:p>
    <w:p w:rsidR="002912F9" w:rsidRDefault="002912F9" w:rsidP="00624EE1">
      <w:pPr>
        <w:jc w:val="both"/>
        <w:rPr>
          <w:rFonts w:cs="Calibri"/>
          <w:sz w:val="24"/>
          <w:szCs w:val="24"/>
        </w:rPr>
      </w:pPr>
      <w:r>
        <w:rPr>
          <w:rFonts w:cs="Calibri"/>
          <w:sz w:val="24"/>
          <w:szCs w:val="24"/>
        </w:rPr>
        <w:t xml:space="preserve">D’une université et deux écoles à Alger en 1962, l’Algérie est passée </w:t>
      </w:r>
      <w:r w:rsidR="00624EE1">
        <w:rPr>
          <w:rFonts w:cs="Calibri"/>
          <w:sz w:val="24"/>
          <w:szCs w:val="24"/>
        </w:rPr>
        <w:t xml:space="preserve">à </w:t>
      </w:r>
      <w:r>
        <w:rPr>
          <w:rFonts w:cs="Calibri"/>
          <w:sz w:val="24"/>
          <w:szCs w:val="24"/>
        </w:rPr>
        <w:t>un réseau de 106 é</w:t>
      </w:r>
      <w:r w:rsidR="00624EE1">
        <w:rPr>
          <w:rFonts w:cs="Calibri"/>
          <w:sz w:val="24"/>
          <w:szCs w:val="24"/>
        </w:rPr>
        <w:t xml:space="preserve">tablissements universitaires en </w:t>
      </w:r>
      <w:r>
        <w:rPr>
          <w:rFonts w:cs="Calibri"/>
          <w:sz w:val="24"/>
          <w:szCs w:val="24"/>
        </w:rPr>
        <w:t>2019</w:t>
      </w:r>
      <w:r w:rsidR="00624EE1">
        <w:rPr>
          <w:rFonts w:cs="Calibri"/>
          <w:sz w:val="24"/>
          <w:szCs w:val="24"/>
        </w:rPr>
        <w:t xml:space="preserve"> </w:t>
      </w:r>
      <w:r>
        <w:rPr>
          <w:rFonts w:cs="Calibri"/>
          <w:sz w:val="24"/>
          <w:szCs w:val="24"/>
        </w:rPr>
        <w:t xml:space="preserve">avec respectivement 2375 étudiants en 1962 et </w:t>
      </w:r>
      <w:r>
        <w:rPr>
          <w:rFonts w:cs="Calibri"/>
          <w:sz w:val="24"/>
          <w:szCs w:val="24"/>
        </w:rPr>
        <w:lastRenderedPageBreak/>
        <w:t>1.531.920 étudiants aujourd’hui (2019).</w:t>
      </w:r>
      <w:r w:rsidR="00624EE1">
        <w:rPr>
          <w:rFonts w:cs="Calibri"/>
          <w:sz w:val="24"/>
          <w:szCs w:val="24"/>
        </w:rPr>
        <w:t xml:space="preserve"> P</w:t>
      </w:r>
      <w:r>
        <w:rPr>
          <w:rFonts w:cs="Calibri"/>
          <w:sz w:val="24"/>
          <w:szCs w:val="24"/>
        </w:rPr>
        <w:t>rès de 80% des</w:t>
      </w:r>
      <w:r w:rsidR="00624EE1">
        <w:rPr>
          <w:rFonts w:cs="Calibri"/>
          <w:sz w:val="24"/>
          <w:szCs w:val="24"/>
        </w:rPr>
        <w:t xml:space="preserve"> ces</w:t>
      </w:r>
      <w:r>
        <w:rPr>
          <w:rFonts w:cs="Calibri"/>
          <w:sz w:val="24"/>
          <w:szCs w:val="24"/>
        </w:rPr>
        <w:t xml:space="preserve"> étudiants sont boursiers et près de 50% d’entre eux sont hébergés dans les cités universitaires.</w:t>
      </w:r>
    </w:p>
    <w:p w:rsidR="002912F9" w:rsidRDefault="002912F9" w:rsidP="002912F9">
      <w:pPr>
        <w:jc w:val="both"/>
        <w:rPr>
          <w:rFonts w:cs="Calibri"/>
          <w:sz w:val="24"/>
          <w:szCs w:val="24"/>
        </w:rPr>
      </w:pPr>
      <w:r>
        <w:rPr>
          <w:rFonts w:cs="Calibri"/>
          <w:sz w:val="24"/>
          <w:szCs w:val="24"/>
        </w:rPr>
        <w:t>Dans le domaine de la Recherche Scientifique et du Développement technologique, le potentiel scientifique, les entités de recherche compte plus de 54</w:t>
      </w:r>
      <w:r w:rsidR="00624EE1">
        <w:rPr>
          <w:rFonts w:cs="Calibri"/>
          <w:sz w:val="24"/>
          <w:szCs w:val="24"/>
        </w:rPr>
        <w:t>.</w:t>
      </w:r>
      <w:r>
        <w:rPr>
          <w:rFonts w:cs="Calibri"/>
          <w:sz w:val="24"/>
          <w:szCs w:val="24"/>
        </w:rPr>
        <w:t>000 chercheurs dans les établissements d’enseignement et de formation supérieurs (laboratoires) et près de 3</w:t>
      </w:r>
      <w:r w:rsidR="00624EE1">
        <w:rPr>
          <w:rFonts w:cs="Calibri"/>
          <w:sz w:val="24"/>
          <w:szCs w:val="24"/>
        </w:rPr>
        <w:t>.</w:t>
      </w:r>
      <w:r>
        <w:rPr>
          <w:rFonts w:cs="Calibri"/>
          <w:sz w:val="24"/>
          <w:szCs w:val="24"/>
        </w:rPr>
        <w:t>000 chercheurs permanents (dans les centres du Ministère de l’Enseignement Supérieur et de la Recherche Scientifique et hors ce Ministère).</w:t>
      </w:r>
    </w:p>
    <w:p w:rsidR="00122C86" w:rsidRDefault="00122C86" w:rsidP="002912F9">
      <w:pPr>
        <w:jc w:val="both"/>
        <w:rPr>
          <w:rFonts w:cs="Calibri"/>
          <w:sz w:val="24"/>
          <w:szCs w:val="24"/>
        </w:rPr>
      </w:pPr>
      <w:r w:rsidRPr="008E0A90">
        <w:rPr>
          <w:rFonts w:cs="Calibri"/>
          <w:sz w:val="24"/>
          <w:szCs w:val="24"/>
        </w:rPr>
        <w:t>Dans le cadre de la coopération bilatérale</w:t>
      </w:r>
      <w:r w:rsidR="002912F9">
        <w:rPr>
          <w:rFonts w:cs="Calibri"/>
          <w:sz w:val="24"/>
          <w:szCs w:val="24"/>
        </w:rPr>
        <w:t xml:space="preserve"> avec les pays africains</w:t>
      </w:r>
      <w:r w:rsidRPr="008E0A90">
        <w:rPr>
          <w:rFonts w:cs="Calibri"/>
          <w:sz w:val="24"/>
          <w:szCs w:val="24"/>
        </w:rPr>
        <w:t xml:space="preserve">, </w:t>
      </w:r>
      <w:r>
        <w:rPr>
          <w:rFonts w:cs="Calibri"/>
          <w:sz w:val="24"/>
          <w:szCs w:val="24"/>
        </w:rPr>
        <w:t xml:space="preserve">l’Algérie </w:t>
      </w:r>
      <w:r w:rsidR="002912F9">
        <w:rPr>
          <w:rFonts w:cs="Calibri"/>
          <w:sz w:val="24"/>
          <w:szCs w:val="24"/>
        </w:rPr>
        <w:t xml:space="preserve">offre </w:t>
      </w:r>
      <w:r>
        <w:rPr>
          <w:rFonts w:cs="Calibri"/>
          <w:sz w:val="24"/>
          <w:szCs w:val="24"/>
        </w:rPr>
        <w:t xml:space="preserve">chaque année </w:t>
      </w:r>
      <w:r w:rsidRPr="00122C86">
        <w:rPr>
          <w:rFonts w:cs="Calibri"/>
          <w:sz w:val="24"/>
          <w:szCs w:val="24"/>
        </w:rPr>
        <w:t>1700 bourses</w:t>
      </w:r>
      <w:r w:rsidRPr="008E0A90">
        <w:rPr>
          <w:rFonts w:cs="Calibri"/>
          <w:sz w:val="24"/>
          <w:szCs w:val="24"/>
        </w:rPr>
        <w:t xml:space="preserve"> </w:t>
      </w:r>
      <w:r>
        <w:rPr>
          <w:rFonts w:cs="Calibri"/>
          <w:sz w:val="24"/>
          <w:szCs w:val="24"/>
        </w:rPr>
        <w:t>dans le domaine de l’enseignement supérieur et de la recherche Scientifique</w:t>
      </w:r>
      <w:r w:rsidR="00D25AEB">
        <w:rPr>
          <w:rFonts w:cs="Calibri"/>
          <w:sz w:val="24"/>
          <w:szCs w:val="24"/>
        </w:rPr>
        <w:t>.</w:t>
      </w:r>
      <w:r w:rsidRPr="008E0A90">
        <w:rPr>
          <w:rFonts w:cs="Calibri"/>
          <w:sz w:val="24"/>
          <w:szCs w:val="24"/>
        </w:rPr>
        <w:t xml:space="preserve"> </w:t>
      </w:r>
      <w:r w:rsidR="00D25AEB" w:rsidRPr="008E0A90">
        <w:rPr>
          <w:rFonts w:cs="Calibri"/>
          <w:sz w:val="24"/>
          <w:szCs w:val="24"/>
        </w:rPr>
        <w:t>Ce</w:t>
      </w:r>
      <w:r w:rsidRPr="008E0A90">
        <w:rPr>
          <w:rFonts w:cs="Calibri"/>
          <w:sz w:val="24"/>
          <w:szCs w:val="24"/>
        </w:rPr>
        <w:t xml:space="preserve"> nombre a augmenté de façon constante au fur et à mesure de l’accroissement de nos capacités d'accueil. On dénombre actuellement 9.397 étudiants étrangers en provenance de 62 pays dont la grande majorité est issue de pays africains.</w:t>
      </w:r>
    </w:p>
    <w:p w:rsidR="00624EE1" w:rsidRPr="00624EE1" w:rsidRDefault="00624EE1" w:rsidP="00624EE1">
      <w:pPr>
        <w:jc w:val="both"/>
        <w:rPr>
          <w:rFonts w:cs="Calibri"/>
          <w:b/>
          <w:bCs/>
          <w:sz w:val="24"/>
          <w:szCs w:val="24"/>
          <w:u w:val="single"/>
        </w:rPr>
      </w:pPr>
      <w:r w:rsidRPr="00624EE1">
        <w:rPr>
          <w:rFonts w:cs="Calibri"/>
          <w:b/>
          <w:bCs/>
          <w:sz w:val="24"/>
          <w:szCs w:val="24"/>
          <w:u w:val="single"/>
        </w:rPr>
        <w:t>La formation et de l’enseignement professionnels</w:t>
      </w:r>
      <w:r>
        <w:rPr>
          <w:rFonts w:cs="Calibri"/>
          <w:b/>
          <w:bCs/>
          <w:sz w:val="24"/>
          <w:szCs w:val="24"/>
          <w:u w:val="single"/>
        </w:rPr>
        <w:t> :</w:t>
      </w:r>
    </w:p>
    <w:p w:rsidR="00624EE1" w:rsidRPr="00624EE1" w:rsidRDefault="00624EE1" w:rsidP="00624EE1">
      <w:pPr>
        <w:jc w:val="both"/>
        <w:rPr>
          <w:rFonts w:cs="Calibri"/>
          <w:sz w:val="24"/>
          <w:szCs w:val="24"/>
        </w:rPr>
      </w:pPr>
      <w:r w:rsidRPr="00624EE1">
        <w:rPr>
          <w:rFonts w:cs="Calibri"/>
          <w:sz w:val="24"/>
          <w:szCs w:val="24"/>
        </w:rPr>
        <w:t xml:space="preserve">Le secteur de la formation et de l’enseignement professionnels </w:t>
      </w:r>
      <w:r>
        <w:rPr>
          <w:rFonts w:cs="Calibri"/>
          <w:sz w:val="24"/>
          <w:szCs w:val="24"/>
        </w:rPr>
        <w:t>est</w:t>
      </w:r>
      <w:r w:rsidRPr="00624EE1">
        <w:rPr>
          <w:rFonts w:cs="Calibri"/>
          <w:sz w:val="24"/>
          <w:szCs w:val="24"/>
        </w:rPr>
        <w:t xml:space="preserve"> secteur stratégique important dans le développement économique et social du pays en visant un double objectif</w:t>
      </w:r>
      <w:r>
        <w:rPr>
          <w:rFonts w:cs="Calibri"/>
          <w:sz w:val="24"/>
          <w:szCs w:val="24"/>
        </w:rPr>
        <w:t>.</w:t>
      </w:r>
      <w:r w:rsidRPr="00624EE1">
        <w:rPr>
          <w:rFonts w:cs="Calibri"/>
          <w:sz w:val="24"/>
          <w:szCs w:val="24"/>
        </w:rPr>
        <w:t xml:space="preserve"> </w:t>
      </w:r>
    </w:p>
    <w:p w:rsidR="00624EE1" w:rsidRPr="00624EE1" w:rsidRDefault="00624EE1" w:rsidP="00624EE1">
      <w:pPr>
        <w:jc w:val="both"/>
        <w:rPr>
          <w:rFonts w:cs="Calibri"/>
          <w:sz w:val="24"/>
          <w:szCs w:val="24"/>
        </w:rPr>
      </w:pPr>
      <w:r w:rsidRPr="00624EE1">
        <w:rPr>
          <w:rFonts w:cs="Calibri"/>
          <w:sz w:val="24"/>
          <w:szCs w:val="24"/>
        </w:rPr>
        <w:t>La nomenclature nationale des branches professionnelles et spécialités de la formation professionnelle -édition 201</w:t>
      </w:r>
      <w:r w:rsidRPr="00624EE1">
        <w:rPr>
          <w:rFonts w:cs="Calibri" w:hint="cs"/>
          <w:sz w:val="24"/>
          <w:szCs w:val="24"/>
          <w:rtl/>
        </w:rPr>
        <w:t>9</w:t>
      </w:r>
      <w:r w:rsidRPr="00624EE1">
        <w:rPr>
          <w:rFonts w:cs="Calibri"/>
          <w:sz w:val="24"/>
          <w:szCs w:val="24"/>
        </w:rPr>
        <w:t>- est structurée en vingt trois (23) branches professionnelles avec l’introduction d’une nouvelle branche professionnelle (Art-Culture et Patrimoine) recouvrant les principaux domaines d’activité. Elle comporte 4</w:t>
      </w:r>
      <w:r w:rsidRPr="00624EE1">
        <w:rPr>
          <w:rFonts w:cs="Calibri" w:hint="cs"/>
          <w:sz w:val="24"/>
          <w:szCs w:val="24"/>
          <w:rtl/>
        </w:rPr>
        <w:t>95</w:t>
      </w:r>
      <w:r w:rsidRPr="00624EE1">
        <w:rPr>
          <w:rFonts w:cs="Calibri"/>
          <w:sz w:val="24"/>
          <w:szCs w:val="24"/>
        </w:rPr>
        <w:t xml:space="preserve"> spécialités</w:t>
      </w:r>
      <w:r>
        <w:rPr>
          <w:rFonts w:cs="Calibri"/>
          <w:sz w:val="24"/>
          <w:szCs w:val="24"/>
        </w:rPr>
        <w:t xml:space="preserve"> dans ces </w:t>
      </w:r>
      <w:r w:rsidRPr="008E0A90">
        <w:rPr>
          <w:rFonts w:cs="Calibri"/>
          <w:sz w:val="24"/>
          <w:szCs w:val="24"/>
        </w:rPr>
        <w:t>1300 établissements</w:t>
      </w:r>
      <w:r w:rsidRPr="00624EE1">
        <w:rPr>
          <w:rFonts w:cs="Calibri"/>
          <w:sz w:val="24"/>
          <w:szCs w:val="24"/>
        </w:rPr>
        <w:t>.</w:t>
      </w:r>
    </w:p>
    <w:p w:rsidR="00624EE1" w:rsidRPr="00D25AEB" w:rsidRDefault="00624EE1" w:rsidP="00D25AEB">
      <w:pPr>
        <w:jc w:val="both"/>
        <w:rPr>
          <w:rFonts w:cs="Calibri"/>
          <w:sz w:val="24"/>
          <w:szCs w:val="24"/>
        </w:rPr>
      </w:pPr>
      <w:r>
        <w:rPr>
          <w:rFonts w:cs="Calibri"/>
          <w:sz w:val="24"/>
          <w:szCs w:val="24"/>
        </w:rPr>
        <w:t>Outre les bourses du Ministère de l’Enseignement Supérieur et de la Recherche Scientifique,</w:t>
      </w:r>
      <w:r w:rsidRPr="00624EE1">
        <w:rPr>
          <w:rFonts w:cs="Calibri"/>
          <w:sz w:val="24"/>
          <w:szCs w:val="24"/>
        </w:rPr>
        <w:t xml:space="preserve"> </w:t>
      </w:r>
      <w:r w:rsidRPr="008E0A90">
        <w:rPr>
          <w:rFonts w:cs="Calibri"/>
          <w:sz w:val="24"/>
          <w:szCs w:val="24"/>
        </w:rPr>
        <w:t xml:space="preserve">le secteur de la formation professionnelle accueille au niveau de </w:t>
      </w:r>
      <w:r>
        <w:rPr>
          <w:rFonts w:cs="Calibri"/>
          <w:sz w:val="24"/>
          <w:szCs w:val="24"/>
        </w:rPr>
        <w:t>ses</w:t>
      </w:r>
      <w:r w:rsidRPr="008E0A90">
        <w:rPr>
          <w:rFonts w:cs="Calibri"/>
          <w:sz w:val="24"/>
          <w:szCs w:val="24"/>
        </w:rPr>
        <w:t xml:space="preserve"> établissements de formation plus de 400 nouveaux stagiaires</w:t>
      </w:r>
      <w:r>
        <w:rPr>
          <w:rFonts w:cs="Calibri"/>
          <w:sz w:val="24"/>
          <w:szCs w:val="24"/>
        </w:rPr>
        <w:t xml:space="preserve"> de plusieurs nationalités</w:t>
      </w:r>
      <w:r w:rsidRPr="008E0A90">
        <w:rPr>
          <w:rFonts w:cs="Calibri"/>
          <w:sz w:val="24"/>
          <w:szCs w:val="24"/>
        </w:rPr>
        <w:t>. Ceci s’ajoute au nombre de stagiaires qui sont reconduits</w:t>
      </w:r>
      <w:r>
        <w:rPr>
          <w:rFonts w:cs="Calibri"/>
          <w:sz w:val="24"/>
          <w:szCs w:val="24"/>
        </w:rPr>
        <w:t xml:space="preserve">, </w:t>
      </w:r>
      <w:r w:rsidRPr="008E0A90">
        <w:rPr>
          <w:rFonts w:cs="Calibri"/>
          <w:sz w:val="24"/>
          <w:szCs w:val="24"/>
        </w:rPr>
        <w:t xml:space="preserve">ainsi l’effectif global en formation pour chaque rentrée avoisine plus de 1.000 stagiaires </w:t>
      </w:r>
      <w:r>
        <w:rPr>
          <w:rFonts w:cs="Calibri"/>
          <w:sz w:val="24"/>
          <w:szCs w:val="24"/>
        </w:rPr>
        <w:t>africains</w:t>
      </w:r>
      <w:r w:rsidRPr="008E0A90">
        <w:rPr>
          <w:rFonts w:cs="Calibri"/>
          <w:sz w:val="24"/>
          <w:szCs w:val="24"/>
        </w:rPr>
        <w:t xml:space="preserve"> au niveau de </w:t>
      </w:r>
      <w:r>
        <w:rPr>
          <w:rFonts w:cs="Calibri"/>
          <w:sz w:val="24"/>
          <w:szCs w:val="24"/>
        </w:rPr>
        <w:t xml:space="preserve">des ces </w:t>
      </w:r>
      <w:r w:rsidRPr="008E0A90">
        <w:rPr>
          <w:rFonts w:cs="Calibri"/>
          <w:sz w:val="24"/>
          <w:szCs w:val="24"/>
        </w:rPr>
        <w:t>établissements de formation</w:t>
      </w:r>
      <w:r>
        <w:rPr>
          <w:rFonts w:cs="Calibri"/>
          <w:sz w:val="24"/>
          <w:szCs w:val="24"/>
        </w:rPr>
        <w:t>.</w:t>
      </w:r>
      <w:r w:rsidRPr="008E0A90">
        <w:rPr>
          <w:rFonts w:cs="Calibri"/>
          <w:sz w:val="24"/>
          <w:szCs w:val="24"/>
        </w:rPr>
        <w:t xml:space="preserve"> </w:t>
      </w:r>
    </w:p>
    <w:p w:rsidR="0064140D" w:rsidRPr="001904FC" w:rsidRDefault="0064140D" w:rsidP="0064140D">
      <w:pPr>
        <w:rPr>
          <w:b/>
          <w:bCs/>
          <w:sz w:val="24"/>
          <w:szCs w:val="24"/>
        </w:rPr>
      </w:pPr>
      <w:r w:rsidRPr="009513E3">
        <w:rPr>
          <w:b/>
          <w:bCs/>
          <w:sz w:val="24"/>
          <w:szCs w:val="24"/>
          <w:u w:val="single"/>
        </w:rPr>
        <w:t>ASPIRATION 7 :</w:t>
      </w:r>
      <w:r w:rsidRPr="001904FC">
        <w:rPr>
          <w:b/>
          <w:bCs/>
          <w:sz w:val="24"/>
          <w:szCs w:val="24"/>
        </w:rPr>
        <w:t xml:space="preserve"> UNE AFRIQUE, EN TANT QUE PARTENAIRE FORT ET INFLUENT DANS LE MONDE</w:t>
      </w:r>
      <w:r>
        <w:rPr>
          <w:b/>
          <w:bCs/>
          <w:sz w:val="24"/>
          <w:szCs w:val="24"/>
        </w:rPr>
        <w:t> :</w:t>
      </w:r>
    </w:p>
    <w:p w:rsidR="005B5EA6" w:rsidRPr="009513E3" w:rsidRDefault="005B5EA6" w:rsidP="00FD0B90">
      <w:pPr>
        <w:jc w:val="both"/>
        <w:rPr>
          <w:rFonts w:cs="Calibri"/>
          <w:b/>
          <w:bCs/>
          <w:sz w:val="24"/>
          <w:szCs w:val="24"/>
        </w:rPr>
      </w:pPr>
      <w:r w:rsidRPr="007E638F">
        <w:rPr>
          <w:rFonts w:cs="Calibri"/>
          <w:b/>
          <w:bCs/>
          <w:sz w:val="24"/>
          <w:szCs w:val="24"/>
          <w:u w:val="single"/>
        </w:rPr>
        <w:t>Objectif 19</w:t>
      </w:r>
      <w:r w:rsidRPr="009513E3">
        <w:rPr>
          <w:rFonts w:cs="Calibri"/>
          <w:b/>
          <w:bCs/>
          <w:sz w:val="24"/>
          <w:szCs w:val="24"/>
        </w:rPr>
        <w:t> : L’Afrique en tant que partenaire majeur dans les affaires et coexistence pacifique au niveau mondial</w:t>
      </w:r>
    </w:p>
    <w:p w:rsidR="00F25B11" w:rsidRPr="008E0A90" w:rsidRDefault="00F25B11" w:rsidP="006F4F4A">
      <w:pPr>
        <w:tabs>
          <w:tab w:val="num" w:pos="720"/>
        </w:tabs>
        <w:jc w:val="both"/>
        <w:rPr>
          <w:rFonts w:cs="Calibri"/>
          <w:sz w:val="24"/>
          <w:szCs w:val="24"/>
        </w:rPr>
      </w:pPr>
      <w:r w:rsidRPr="008E0A90">
        <w:rPr>
          <w:rFonts w:cs="Calibri"/>
          <w:sz w:val="24"/>
          <w:szCs w:val="24"/>
        </w:rPr>
        <w:t>Une cible est associée à cet objectif stratégique : il s’agit d’arriver à un système statistique national entièrement fonctionnel.</w:t>
      </w:r>
    </w:p>
    <w:p w:rsidR="00290832" w:rsidRPr="008E0A90" w:rsidRDefault="00F25B11" w:rsidP="00F25B11">
      <w:pPr>
        <w:tabs>
          <w:tab w:val="num" w:pos="720"/>
        </w:tabs>
        <w:jc w:val="both"/>
        <w:rPr>
          <w:rFonts w:cs="Calibri"/>
          <w:sz w:val="24"/>
          <w:szCs w:val="24"/>
        </w:rPr>
      </w:pPr>
      <w:r w:rsidRPr="008E0A90">
        <w:rPr>
          <w:rFonts w:cs="Calibri"/>
          <w:sz w:val="24"/>
          <w:szCs w:val="24"/>
        </w:rPr>
        <w:t>A ce propos, on peut noter que l</w:t>
      </w:r>
      <w:r w:rsidR="002B13D6" w:rsidRPr="008E0A90">
        <w:rPr>
          <w:rFonts w:cs="Calibri"/>
          <w:sz w:val="24"/>
          <w:szCs w:val="24"/>
        </w:rPr>
        <w:t xml:space="preserve">a statistique algérienne est bien encadrée par un arsenal juridique assez complet : loi statistique, textes </w:t>
      </w:r>
      <w:r w:rsidR="006F4F4A" w:rsidRPr="008E0A90">
        <w:rPr>
          <w:rFonts w:cs="Calibri"/>
          <w:sz w:val="24"/>
          <w:szCs w:val="24"/>
        </w:rPr>
        <w:t xml:space="preserve">régissant le fonctionnement de l’Office National des Statistiques (ONS), </w:t>
      </w:r>
      <w:r w:rsidR="002B13D6" w:rsidRPr="008E0A90">
        <w:rPr>
          <w:rFonts w:cs="Calibri"/>
          <w:sz w:val="24"/>
          <w:szCs w:val="24"/>
        </w:rPr>
        <w:t xml:space="preserve">textes </w:t>
      </w:r>
      <w:r w:rsidR="006F4F4A" w:rsidRPr="008E0A90">
        <w:rPr>
          <w:rFonts w:cs="Calibri"/>
          <w:sz w:val="24"/>
          <w:szCs w:val="24"/>
        </w:rPr>
        <w:t xml:space="preserve">afférents au </w:t>
      </w:r>
      <w:r w:rsidR="002B13D6" w:rsidRPr="008E0A90">
        <w:rPr>
          <w:rFonts w:cs="Calibri"/>
          <w:sz w:val="24"/>
          <w:szCs w:val="24"/>
        </w:rPr>
        <w:t>C</w:t>
      </w:r>
      <w:r w:rsidR="006F4F4A" w:rsidRPr="008E0A90">
        <w:rPr>
          <w:rFonts w:cs="Calibri"/>
          <w:sz w:val="24"/>
          <w:szCs w:val="24"/>
        </w:rPr>
        <w:t xml:space="preserve">onseil </w:t>
      </w:r>
      <w:r w:rsidR="002B13D6" w:rsidRPr="008E0A90">
        <w:rPr>
          <w:rFonts w:cs="Calibri"/>
          <w:sz w:val="24"/>
          <w:szCs w:val="24"/>
        </w:rPr>
        <w:t>N</w:t>
      </w:r>
      <w:r w:rsidR="006F4F4A" w:rsidRPr="008E0A90">
        <w:rPr>
          <w:rFonts w:cs="Calibri"/>
          <w:sz w:val="24"/>
          <w:szCs w:val="24"/>
        </w:rPr>
        <w:t xml:space="preserve">ational de la </w:t>
      </w:r>
      <w:r w:rsidR="002B13D6" w:rsidRPr="008E0A90">
        <w:rPr>
          <w:rFonts w:cs="Calibri"/>
          <w:sz w:val="24"/>
          <w:szCs w:val="24"/>
        </w:rPr>
        <w:t>S</w:t>
      </w:r>
      <w:r w:rsidR="006F4F4A" w:rsidRPr="008E0A90">
        <w:rPr>
          <w:rFonts w:cs="Calibri"/>
          <w:sz w:val="24"/>
          <w:szCs w:val="24"/>
        </w:rPr>
        <w:t>tatistique (CNS)</w:t>
      </w:r>
      <w:r w:rsidR="002B13D6" w:rsidRPr="008E0A90">
        <w:rPr>
          <w:rFonts w:cs="Calibri"/>
          <w:sz w:val="24"/>
          <w:szCs w:val="24"/>
        </w:rPr>
        <w:t xml:space="preserve">, code de déontologie, textes sur le Numéro d’Indentification Statistique (NIS), textes sur les répertoires et les différents textes sur les </w:t>
      </w:r>
      <w:r w:rsidR="002479ED" w:rsidRPr="008E0A90">
        <w:rPr>
          <w:rFonts w:cs="Calibri"/>
          <w:sz w:val="24"/>
          <w:szCs w:val="24"/>
        </w:rPr>
        <w:t>nomenclatures ;</w:t>
      </w:r>
      <w:r w:rsidR="002B13D6" w:rsidRPr="008E0A90">
        <w:rPr>
          <w:rFonts w:cs="Calibri"/>
          <w:sz w:val="24"/>
          <w:szCs w:val="24"/>
        </w:rPr>
        <w:t xml:space="preserve"> les RGPH, l’échange d’informations statistiques, etc.</w:t>
      </w:r>
    </w:p>
    <w:p w:rsidR="00290832" w:rsidRPr="008E0A90" w:rsidRDefault="002B13D6" w:rsidP="006F4F4A">
      <w:pPr>
        <w:tabs>
          <w:tab w:val="num" w:pos="720"/>
        </w:tabs>
        <w:jc w:val="both"/>
        <w:rPr>
          <w:rFonts w:cs="Calibri"/>
          <w:sz w:val="24"/>
          <w:szCs w:val="24"/>
        </w:rPr>
      </w:pPr>
      <w:r w:rsidRPr="008E0A90">
        <w:rPr>
          <w:rFonts w:cs="Calibri"/>
          <w:sz w:val="24"/>
          <w:szCs w:val="24"/>
        </w:rPr>
        <w:lastRenderedPageBreak/>
        <w:t xml:space="preserve">Deux mois après l’indépendance, </w:t>
      </w:r>
      <w:r w:rsidR="006F4F4A" w:rsidRPr="008E0A90">
        <w:rPr>
          <w:rFonts w:cs="Calibri"/>
          <w:sz w:val="24"/>
          <w:szCs w:val="24"/>
        </w:rPr>
        <w:t xml:space="preserve">il y a eu </w:t>
      </w:r>
      <w:r w:rsidRPr="008E0A90">
        <w:rPr>
          <w:rFonts w:cs="Calibri"/>
          <w:sz w:val="24"/>
          <w:szCs w:val="24"/>
        </w:rPr>
        <w:t xml:space="preserve">promulgation en 1962 de la première loi encadrant l’activité statistique en Algérie réglementant la coordination, le contrôle, l’obligation et le secret en matière de statistiques avec même </w:t>
      </w:r>
      <w:r w:rsidR="006F4F4A" w:rsidRPr="008E0A90">
        <w:rPr>
          <w:rFonts w:cs="Calibri"/>
          <w:sz w:val="24"/>
          <w:szCs w:val="24"/>
        </w:rPr>
        <w:t>l’</w:t>
      </w:r>
      <w:r w:rsidRPr="008E0A90">
        <w:rPr>
          <w:rFonts w:cs="Calibri"/>
          <w:sz w:val="24"/>
          <w:szCs w:val="24"/>
        </w:rPr>
        <w:t xml:space="preserve">institution d’une sorte de Conseil de la Statistique à </w:t>
      </w:r>
      <w:r w:rsidR="002479ED" w:rsidRPr="008E0A90">
        <w:rPr>
          <w:rFonts w:cs="Calibri"/>
          <w:sz w:val="24"/>
          <w:szCs w:val="24"/>
        </w:rPr>
        <w:t>travers «</w:t>
      </w:r>
      <w:r w:rsidRPr="008E0A90">
        <w:rPr>
          <w:rFonts w:cs="Calibri"/>
          <w:sz w:val="24"/>
          <w:szCs w:val="24"/>
        </w:rPr>
        <w:t> le Comité de contrôle et des études statistiques </w:t>
      </w:r>
      <w:r w:rsidR="00EC4CCC" w:rsidRPr="008E0A90">
        <w:rPr>
          <w:rFonts w:cs="Calibri"/>
          <w:sz w:val="24"/>
          <w:szCs w:val="24"/>
        </w:rPr>
        <w:t>».</w:t>
      </w:r>
    </w:p>
    <w:p w:rsidR="00EC4CCC" w:rsidRPr="008E0A90" w:rsidRDefault="006F4F4A" w:rsidP="00EC4CCC">
      <w:pPr>
        <w:tabs>
          <w:tab w:val="left" w:pos="5850"/>
        </w:tabs>
        <w:spacing w:after="0" w:line="240" w:lineRule="auto"/>
        <w:jc w:val="both"/>
        <w:rPr>
          <w:rFonts w:cs="Calibri"/>
          <w:sz w:val="24"/>
          <w:szCs w:val="24"/>
        </w:rPr>
      </w:pPr>
      <w:r w:rsidRPr="008E0A90">
        <w:rPr>
          <w:rFonts w:cs="Calibri"/>
          <w:sz w:val="24"/>
          <w:szCs w:val="24"/>
        </w:rPr>
        <w:t>Toutefois, l</w:t>
      </w:r>
      <w:r w:rsidR="002B13D6" w:rsidRPr="008E0A90">
        <w:rPr>
          <w:rFonts w:cs="Calibri"/>
          <w:sz w:val="24"/>
          <w:szCs w:val="24"/>
        </w:rPr>
        <w:t xml:space="preserve">a véritable loi statistique algérienne </w:t>
      </w:r>
      <w:r w:rsidRPr="008E0A90">
        <w:rPr>
          <w:rFonts w:cs="Calibri"/>
          <w:sz w:val="24"/>
          <w:szCs w:val="24"/>
        </w:rPr>
        <w:t xml:space="preserve">a été </w:t>
      </w:r>
      <w:r w:rsidR="002B13D6" w:rsidRPr="008E0A90">
        <w:rPr>
          <w:rFonts w:cs="Calibri"/>
          <w:sz w:val="24"/>
          <w:szCs w:val="24"/>
        </w:rPr>
        <w:t>promulguée en janvier 1994</w:t>
      </w:r>
      <w:r w:rsidRPr="008E0A90">
        <w:rPr>
          <w:rFonts w:cs="Calibri"/>
          <w:sz w:val="24"/>
          <w:szCs w:val="24"/>
        </w:rPr>
        <w:t xml:space="preserve"> et </w:t>
      </w:r>
      <w:r w:rsidR="00EC4CCC" w:rsidRPr="008E0A90">
        <w:rPr>
          <w:rFonts w:cs="Calibri"/>
          <w:sz w:val="24"/>
          <w:szCs w:val="24"/>
        </w:rPr>
        <w:t xml:space="preserve">avait même anticipé sur certains principes fondamentaux de la statistique officielle consacrés par les Nations Unies en avril 1994 </w:t>
      </w:r>
    </w:p>
    <w:p w:rsidR="00EC4CCC" w:rsidRPr="008E0A90" w:rsidRDefault="00EC4CCC" w:rsidP="00EC4CCC">
      <w:pPr>
        <w:tabs>
          <w:tab w:val="left" w:pos="5850"/>
        </w:tabs>
        <w:spacing w:after="0" w:line="240" w:lineRule="auto"/>
        <w:jc w:val="both"/>
        <w:rPr>
          <w:rFonts w:cs="Calibri"/>
          <w:sz w:val="24"/>
          <w:szCs w:val="24"/>
        </w:rPr>
      </w:pPr>
    </w:p>
    <w:p w:rsidR="009513E3" w:rsidRDefault="00EC4CCC" w:rsidP="00131516">
      <w:pPr>
        <w:tabs>
          <w:tab w:val="left" w:pos="5850"/>
        </w:tabs>
        <w:spacing w:after="0" w:line="240" w:lineRule="auto"/>
        <w:jc w:val="both"/>
        <w:rPr>
          <w:rFonts w:cs="Calibri"/>
          <w:sz w:val="24"/>
          <w:szCs w:val="24"/>
        </w:rPr>
      </w:pPr>
      <w:r w:rsidRPr="008E0A90">
        <w:rPr>
          <w:rFonts w:cs="Calibri"/>
          <w:sz w:val="24"/>
          <w:szCs w:val="24"/>
        </w:rPr>
        <w:t xml:space="preserve">Parmi ses principes, nous noterons particulièrement les principes se rapportant aux méthodes scientifiques et de règles déontologiques, la confidentialité des données individuelles, </w:t>
      </w:r>
      <w:r w:rsidR="002479ED" w:rsidRPr="008E0A90">
        <w:rPr>
          <w:rFonts w:cs="Calibri"/>
          <w:sz w:val="24"/>
          <w:szCs w:val="24"/>
        </w:rPr>
        <w:t>les métadonnées,…</w:t>
      </w:r>
      <w:r w:rsidRPr="008E0A90">
        <w:rPr>
          <w:rFonts w:cs="Calibri"/>
          <w:sz w:val="24"/>
          <w:szCs w:val="24"/>
        </w:rPr>
        <w:t>etc.</w:t>
      </w:r>
    </w:p>
    <w:p w:rsidR="00131516" w:rsidRDefault="00131516" w:rsidP="00131516">
      <w:pPr>
        <w:tabs>
          <w:tab w:val="left" w:pos="5850"/>
        </w:tabs>
        <w:spacing w:after="0" w:line="240" w:lineRule="auto"/>
        <w:jc w:val="both"/>
        <w:rPr>
          <w:rFonts w:cs="Calibri"/>
          <w:sz w:val="24"/>
          <w:szCs w:val="24"/>
        </w:rPr>
      </w:pPr>
    </w:p>
    <w:p w:rsidR="006F4F4A" w:rsidRPr="008E0A90" w:rsidRDefault="006F4F4A" w:rsidP="006F4F4A">
      <w:pPr>
        <w:tabs>
          <w:tab w:val="num" w:pos="720"/>
        </w:tabs>
        <w:jc w:val="both"/>
        <w:rPr>
          <w:rFonts w:cs="Calibri"/>
          <w:sz w:val="24"/>
          <w:szCs w:val="24"/>
        </w:rPr>
      </w:pPr>
      <w:r w:rsidRPr="008E0A90">
        <w:rPr>
          <w:rFonts w:cs="Calibri"/>
          <w:sz w:val="24"/>
          <w:szCs w:val="24"/>
        </w:rPr>
        <w:t>Cette loi statistique couvre bien l’ensemble du Système Statistique National</w:t>
      </w:r>
      <w:r w:rsidR="00EC4CCC" w:rsidRPr="008E0A90">
        <w:rPr>
          <w:rFonts w:cs="Calibri"/>
          <w:sz w:val="24"/>
          <w:szCs w:val="24"/>
        </w:rPr>
        <w:t xml:space="preserve"> (SSN)</w:t>
      </w:r>
      <w:r w:rsidRPr="008E0A90">
        <w:rPr>
          <w:rFonts w:cs="Calibri"/>
          <w:sz w:val="24"/>
          <w:szCs w:val="24"/>
        </w:rPr>
        <w:t>, et au sein de la composante du CNS, nous retrouvons, entre autres, les représentants de la société civile dans sa diversité.</w:t>
      </w:r>
    </w:p>
    <w:p w:rsidR="00EC4CCC" w:rsidRPr="008E0A90" w:rsidRDefault="00EC4CCC" w:rsidP="00E4485C">
      <w:pPr>
        <w:tabs>
          <w:tab w:val="num" w:pos="720"/>
        </w:tabs>
        <w:jc w:val="both"/>
        <w:rPr>
          <w:rFonts w:cs="Calibri"/>
          <w:sz w:val="24"/>
          <w:szCs w:val="24"/>
        </w:rPr>
      </w:pPr>
      <w:r w:rsidRPr="008E0A90">
        <w:rPr>
          <w:rFonts w:cs="Calibri"/>
          <w:sz w:val="24"/>
          <w:szCs w:val="24"/>
        </w:rPr>
        <w:t xml:space="preserve">L’existence en Algérie du </w:t>
      </w:r>
      <w:r w:rsidR="002B13D6" w:rsidRPr="008E0A90">
        <w:rPr>
          <w:rFonts w:cs="Calibri"/>
          <w:sz w:val="24"/>
          <w:szCs w:val="24"/>
        </w:rPr>
        <w:t xml:space="preserve">cadre institutionnel et légal </w:t>
      </w:r>
      <w:r w:rsidRPr="008E0A90">
        <w:rPr>
          <w:rFonts w:cs="Calibri"/>
          <w:sz w:val="24"/>
          <w:szCs w:val="24"/>
        </w:rPr>
        <w:t xml:space="preserve">est conforme avec le principe N°1 de la Charte Africaine de la Statistique (CAS) et l’Objectif Stratégique (OS) de la Stratégie pour l’Harmonisation des Statistiques en Afrique </w:t>
      </w:r>
      <w:r w:rsidR="002B13D6" w:rsidRPr="008E0A90">
        <w:rPr>
          <w:rFonts w:cs="Calibri"/>
          <w:sz w:val="24"/>
          <w:szCs w:val="24"/>
        </w:rPr>
        <w:t>(SHaSA II)</w:t>
      </w:r>
      <w:r w:rsidRPr="008E0A90">
        <w:rPr>
          <w:rFonts w:cs="Calibri"/>
          <w:sz w:val="24"/>
          <w:szCs w:val="24"/>
        </w:rPr>
        <w:t xml:space="preserve">. De même, le SSN est construit autour d’un ensemble </w:t>
      </w:r>
      <w:r w:rsidR="002B13D6" w:rsidRPr="008E0A90">
        <w:rPr>
          <w:rFonts w:cs="Calibri"/>
          <w:sz w:val="24"/>
          <w:szCs w:val="24"/>
        </w:rPr>
        <w:t xml:space="preserve">d’opérations statistiques </w:t>
      </w:r>
      <w:r w:rsidRPr="008E0A90">
        <w:rPr>
          <w:rFonts w:cs="Calibri"/>
          <w:sz w:val="24"/>
          <w:szCs w:val="24"/>
        </w:rPr>
        <w:t xml:space="preserve">routinières et structurantes </w:t>
      </w:r>
      <w:r w:rsidR="002B13D6" w:rsidRPr="008E0A90">
        <w:rPr>
          <w:rFonts w:cs="Calibri"/>
          <w:sz w:val="24"/>
          <w:szCs w:val="24"/>
        </w:rPr>
        <w:t>(</w:t>
      </w:r>
      <w:r w:rsidR="00E4485C" w:rsidRPr="008E0A90">
        <w:rPr>
          <w:rFonts w:cs="Calibri"/>
          <w:sz w:val="24"/>
          <w:szCs w:val="24"/>
        </w:rPr>
        <w:t xml:space="preserve">conformité avec le P3 de la </w:t>
      </w:r>
      <w:r w:rsidR="002B13D6" w:rsidRPr="008E0A90">
        <w:rPr>
          <w:rFonts w:cs="Calibri"/>
          <w:sz w:val="24"/>
          <w:szCs w:val="24"/>
        </w:rPr>
        <w:t xml:space="preserve">CAS </w:t>
      </w:r>
      <w:r w:rsidR="00E4485C" w:rsidRPr="008E0A90">
        <w:rPr>
          <w:rFonts w:cs="Calibri"/>
          <w:sz w:val="24"/>
          <w:szCs w:val="24"/>
        </w:rPr>
        <w:t xml:space="preserve">et l’OS 1.1 de la </w:t>
      </w:r>
      <w:r w:rsidR="002B13D6" w:rsidRPr="008E0A90">
        <w:rPr>
          <w:rFonts w:cs="Calibri"/>
          <w:sz w:val="24"/>
          <w:szCs w:val="24"/>
        </w:rPr>
        <w:t>SHaSA II</w:t>
      </w:r>
      <w:r w:rsidRPr="008E0A90">
        <w:rPr>
          <w:rFonts w:cs="Calibri"/>
          <w:sz w:val="24"/>
          <w:szCs w:val="24"/>
        </w:rPr>
        <w:t>.</w:t>
      </w:r>
    </w:p>
    <w:p w:rsidR="004E153F" w:rsidRPr="008E0A90" w:rsidRDefault="00E4485C" w:rsidP="00F82C89">
      <w:pPr>
        <w:tabs>
          <w:tab w:val="num" w:pos="720"/>
        </w:tabs>
        <w:jc w:val="both"/>
        <w:rPr>
          <w:rFonts w:cs="Calibri"/>
          <w:sz w:val="24"/>
          <w:szCs w:val="24"/>
        </w:rPr>
      </w:pPr>
      <w:r w:rsidRPr="008E0A90">
        <w:rPr>
          <w:rFonts w:cs="Calibri"/>
          <w:sz w:val="24"/>
          <w:szCs w:val="24"/>
        </w:rPr>
        <w:t xml:space="preserve">Avec l’avènement des thématiques émergentes notamment data </w:t>
      </w:r>
      <w:r w:rsidR="002479ED" w:rsidRPr="008E0A90">
        <w:rPr>
          <w:rFonts w:cs="Calibri"/>
          <w:sz w:val="24"/>
          <w:szCs w:val="24"/>
        </w:rPr>
        <w:t>révolution</w:t>
      </w:r>
      <w:r w:rsidRPr="008E0A90">
        <w:rPr>
          <w:rFonts w:cs="Calibri"/>
          <w:sz w:val="24"/>
          <w:szCs w:val="24"/>
        </w:rPr>
        <w:t>, l</w:t>
      </w:r>
      <w:r w:rsidR="00EC4CCC" w:rsidRPr="008E0A90">
        <w:rPr>
          <w:rFonts w:cs="Calibri"/>
          <w:sz w:val="24"/>
          <w:szCs w:val="24"/>
        </w:rPr>
        <w:t>’</w:t>
      </w:r>
      <w:r w:rsidRPr="008E0A90">
        <w:rPr>
          <w:rFonts w:cs="Calibri"/>
          <w:sz w:val="24"/>
          <w:szCs w:val="24"/>
        </w:rPr>
        <w:t>ONS mobilise de plus en plus les so</w:t>
      </w:r>
      <w:r w:rsidR="002B13D6" w:rsidRPr="008E0A90">
        <w:rPr>
          <w:rFonts w:cs="Calibri"/>
          <w:sz w:val="24"/>
          <w:szCs w:val="24"/>
        </w:rPr>
        <w:t>urces administratives (</w:t>
      </w:r>
      <w:r w:rsidRPr="008E0A90">
        <w:rPr>
          <w:rFonts w:cs="Calibri"/>
          <w:sz w:val="24"/>
          <w:szCs w:val="24"/>
        </w:rPr>
        <w:t xml:space="preserve">conformité avec l’OS 1.1 de la </w:t>
      </w:r>
      <w:r w:rsidR="002B13D6" w:rsidRPr="008E0A90">
        <w:rPr>
          <w:rFonts w:cs="Calibri"/>
          <w:sz w:val="24"/>
          <w:szCs w:val="24"/>
        </w:rPr>
        <w:t xml:space="preserve">SHaSA </w:t>
      </w:r>
      <w:r w:rsidRPr="008E0A90">
        <w:rPr>
          <w:rFonts w:cs="Calibri"/>
          <w:sz w:val="24"/>
          <w:szCs w:val="24"/>
        </w:rPr>
        <w:t>II).  Pour cela, il a procédé à la signature d’un certain nombre de conventions et de protocoles d’accord sur l’échange de données avec ses principaux partenaire</w:t>
      </w:r>
      <w:r w:rsidR="004E153F" w:rsidRPr="008E0A90">
        <w:rPr>
          <w:rFonts w:cs="Calibri"/>
          <w:sz w:val="24"/>
          <w:szCs w:val="24"/>
        </w:rPr>
        <w:t>s</w:t>
      </w:r>
      <w:r w:rsidRPr="008E0A90">
        <w:rPr>
          <w:rFonts w:cs="Calibri"/>
          <w:sz w:val="24"/>
          <w:szCs w:val="24"/>
        </w:rPr>
        <w:t xml:space="preserve"> avec le renforcement de la coordination inter institutionnelle (conformité avec</w:t>
      </w:r>
      <w:r w:rsidR="004E153F" w:rsidRPr="008E0A90">
        <w:rPr>
          <w:rFonts w:cs="Calibri"/>
          <w:sz w:val="24"/>
          <w:szCs w:val="24"/>
        </w:rPr>
        <w:t xml:space="preserve"> </w:t>
      </w:r>
      <w:r w:rsidRPr="008E0A90">
        <w:rPr>
          <w:rFonts w:cs="Calibri"/>
          <w:sz w:val="24"/>
          <w:szCs w:val="24"/>
        </w:rPr>
        <w:t xml:space="preserve">le P3 de la CAS et avec l’OS </w:t>
      </w:r>
      <w:r w:rsidR="004E153F" w:rsidRPr="008E0A90">
        <w:rPr>
          <w:rFonts w:cs="Calibri"/>
          <w:sz w:val="24"/>
          <w:szCs w:val="24"/>
        </w:rPr>
        <w:t>2.1 de la SHaSA II).</w:t>
      </w:r>
      <w:r w:rsidR="002B13D6" w:rsidRPr="008E0A90">
        <w:rPr>
          <w:rFonts w:cs="Calibri"/>
          <w:b/>
          <w:bCs/>
          <w:color w:val="FF0000"/>
          <w:sz w:val="24"/>
          <w:szCs w:val="24"/>
        </w:rPr>
        <w:t xml:space="preserve"> </w:t>
      </w:r>
      <w:r w:rsidR="00F82C89" w:rsidRPr="008E0A90">
        <w:rPr>
          <w:rFonts w:cs="Calibri"/>
          <w:sz w:val="24"/>
          <w:szCs w:val="24"/>
        </w:rPr>
        <w:t xml:space="preserve">De </w:t>
      </w:r>
      <w:r w:rsidR="004E153F" w:rsidRPr="008E0A90">
        <w:rPr>
          <w:rFonts w:cs="Calibri"/>
          <w:sz w:val="24"/>
          <w:szCs w:val="24"/>
        </w:rPr>
        <w:t>même, l’ONS accorde la plus haute importance à la coopération statistique tant au niveau régional et sous régional qu’international (conformité avec le P6 de la CAS et l’OS … de la SHaSA II).</w:t>
      </w:r>
      <w:r w:rsidR="00F82C89" w:rsidRPr="008E0A90">
        <w:rPr>
          <w:rFonts w:cs="Calibri"/>
          <w:sz w:val="24"/>
          <w:szCs w:val="24"/>
        </w:rPr>
        <w:t xml:space="preserve"> Des actions sont entreprises en interne et à travers la coopération technique pour le renforcement de ses capacités techniques (conformité avec l’OS 3.3 de la SHaSA II) et pour la modernisation des processus statistiques (conformité avec l’OS 3.4) de ShaSA II) avec l’introduction des Technologies de l’Information et de Communication (TIC). </w:t>
      </w:r>
    </w:p>
    <w:p w:rsidR="00A73DE9" w:rsidRPr="008E0A90" w:rsidRDefault="00F82C89" w:rsidP="00A73DE9">
      <w:pPr>
        <w:tabs>
          <w:tab w:val="num" w:pos="720"/>
        </w:tabs>
        <w:jc w:val="both"/>
        <w:rPr>
          <w:rFonts w:cs="Calibri"/>
          <w:sz w:val="24"/>
          <w:szCs w:val="24"/>
        </w:rPr>
      </w:pPr>
      <w:r w:rsidRPr="008E0A90">
        <w:rPr>
          <w:rFonts w:cs="Calibri"/>
          <w:sz w:val="24"/>
          <w:szCs w:val="24"/>
        </w:rPr>
        <w:t xml:space="preserve">Il est important de signaler que depuis 2015, l’ONS a affiché sa volonté pour la mise en œuvre d’une démarche qualité dans ses travaux statistiques avec un processus progressif pour en optimiser le pilotage et participatif et transparent pour enrichir cette démarche et en faciliter l’appropriation. Pour cela, il a été procédé de manière séquentielle et chronologique à </w:t>
      </w:r>
      <w:r w:rsidR="00A73DE9" w:rsidRPr="008E0A90">
        <w:rPr>
          <w:rFonts w:cs="Calibri"/>
          <w:sz w:val="24"/>
          <w:szCs w:val="24"/>
        </w:rPr>
        <w:t>l’installation</w:t>
      </w:r>
      <w:r w:rsidR="002B13D6" w:rsidRPr="008E0A90">
        <w:rPr>
          <w:rFonts w:cs="Calibri"/>
          <w:sz w:val="24"/>
          <w:szCs w:val="24"/>
        </w:rPr>
        <w:t xml:space="preserve"> d’une cellule qualité composée d’un Directeur et d’un </w:t>
      </w:r>
      <w:r w:rsidR="002479ED" w:rsidRPr="008E0A90">
        <w:rPr>
          <w:rFonts w:cs="Calibri"/>
          <w:sz w:val="24"/>
          <w:szCs w:val="24"/>
        </w:rPr>
        <w:t>sous-directeur</w:t>
      </w:r>
      <w:r w:rsidR="002B13D6" w:rsidRPr="008E0A90">
        <w:rPr>
          <w:rFonts w:cs="Calibri"/>
          <w:sz w:val="24"/>
          <w:szCs w:val="24"/>
        </w:rPr>
        <w:t xml:space="preserve"> rattachée à la D</w:t>
      </w:r>
      <w:r w:rsidR="00A73DE9" w:rsidRPr="008E0A90">
        <w:rPr>
          <w:rFonts w:cs="Calibri"/>
          <w:sz w:val="24"/>
          <w:szCs w:val="24"/>
        </w:rPr>
        <w:t xml:space="preserve">irection </w:t>
      </w:r>
      <w:r w:rsidR="002B13D6" w:rsidRPr="008E0A90">
        <w:rPr>
          <w:rFonts w:cs="Calibri"/>
          <w:sz w:val="24"/>
          <w:szCs w:val="24"/>
        </w:rPr>
        <w:t>G</w:t>
      </w:r>
      <w:r w:rsidR="00A73DE9" w:rsidRPr="008E0A90">
        <w:rPr>
          <w:rFonts w:cs="Calibri"/>
          <w:sz w:val="24"/>
          <w:szCs w:val="24"/>
        </w:rPr>
        <w:t xml:space="preserve">énérale, la </w:t>
      </w:r>
      <w:r w:rsidR="002B13D6" w:rsidRPr="008E0A90">
        <w:rPr>
          <w:rFonts w:cs="Calibri"/>
          <w:sz w:val="24"/>
          <w:szCs w:val="24"/>
        </w:rPr>
        <w:t xml:space="preserve">formation de la cellule qualité sur la démarche et outils qualité principalement le </w:t>
      </w:r>
      <w:r w:rsidR="00A73DE9" w:rsidRPr="008E0A90">
        <w:rPr>
          <w:rFonts w:cs="Calibri"/>
          <w:sz w:val="24"/>
          <w:szCs w:val="24"/>
        </w:rPr>
        <w:t>Cadre Assurance Qualité (</w:t>
      </w:r>
      <w:r w:rsidR="002B13D6" w:rsidRPr="008E0A90">
        <w:rPr>
          <w:rFonts w:cs="Calibri"/>
          <w:sz w:val="24"/>
          <w:szCs w:val="24"/>
        </w:rPr>
        <w:t>QAF</w:t>
      </w:r>
      <w:r w:rsidR="00A73DE9" w:rsidRPr="008E0A90">
        <w:rPr>
          <w:rFonts w:cs="Calibri"/>
          <w:sz w:val="24"/>
          <w:szCs w:val="24"/>
        </w:rPr>
        <w:t>)</w:t>
      </w:r>
      <w:r w:rsidR="002B13D6" w:rsidRPr="008E0A90">
        <w:rPr>
          <w:rFonts w:cs="Calibri"/>
          <w:sz w:val="24"/>
          <w:szCs w:val="24"/>
        </w:rPr>
        <w:t xml:space="preserve"> de l’UE, le </w:t>
      </w:r>
      <w:r w:rsidR="00A73DE9" w:rsidRPr="008E0A90">
        <w:rPr>
          <w:rFonts w:cs="Calibri"/>
          <w:sz w:val="24"/>
          <w:szCs w:val="24"/>
        </w:rPr>
        <w:t>Code de Bonne Pratiques (</w:t>
      </w:r>
      <w:r w:rsidR="002B13D6" w:rsidRPr="008E0A90">
        <w:rPr>
          <w:rFonts w:cs="Calibri"/>
          <w:sz w:val="24"/>
          <w:szCs w:val="24"/>
        </w:rPr>
        <w:t>CoP</w:t>
      </w:r>
      <w:r w:rsidR="00A73DE9" w:rsidRPr="008E0A90">
        <w:rPr>
          <w:rFonts w:cs="Calibri"/>
          <w:sz w:val="24"/>
          <w:szCs w:val="24"/>
        </w:rPr>
        <w:t>)</w:t>
      </w:r>
      <w:r w:rsidR="002B13D6" w:rsidRPr="008E0A90">
        <w:rPr>
          <w:rFonts w:cs="Calibri"/>
          <w:sz w:val="24"/>
          <w:szCs w:val="24"/>
        </w:rPr>
        <w:t xml:space="preserve"> de l’UE adapté aux </w:t>
      </w:r>
      <w:r w:rsidR="00A73DE9" w:rsidRPr="008E0A90">
        <w:rPr>
          <w:rFonts w:cs="Calibri"/>
          <w:sz w:val="24"/>
          <w:szCs w:val="24"/>
        </w:rPr>
        <w:t xml:space="preserve">pays de la rive sud de la méditerranée, </w:t>
      </w:r>
      <w:r w:rsidR="002B13D6" w:rsidRPr="008E0A90">
        <w:rPr>
          <w:rFonts w:cs="Calibri"/>
          <w:sz w:val="24"/>
          <w:szCs w:val="24"/>
        </w:rPr>
        <w:t xml:space="preserve">le </w:t>
      </w:r>
      <w:r w:rsidR="00A73DE9" w:rsidRPr="008E0A90">
        <w:rPr>
          <w:rFonts w:cs="Calibri"/>
          <w:sz w:val="24"/>
          <w:szCs w:val="24"/>
        </w:rPr>
        <w:t>Questionnaire d’Auto Evaluation (</w:t>
      </w:r>
      <w:r w:rsidR="002B13D6" w:rsidRPr="008E0A90">
        <w:rPr>
          <w:rFonts w:cs="Calibri"/>
          <w:sz w:val="24"/>
          <w:szCs w:val="24"/>
        </w:rPr>
        <w:t>SAQ</w:t>
      </w:r>
      <w:r w:rsidR="00A73DE9" w:rsidRPr="008E0A90">
        <w:rPr>
          <w:rFonts w:cs="Calibri"/>
          <w:sz w:val="24"/>
          <w:szCs w:val="24"/>
        </w:rPr>
        <w:t>)</w:t>
      </w:r>
      <w:r w:rsidR="002B13D6" w:rsidRPr="008E0A90">
        <w:rPr>
          <w:rFonts w:cs="Calibri"/>
          <w:sz w:val="24"/>
          <w:szCs w:val="24"/>
        </w:rPr>
        <w:t xml:space="preserve">, le </w:t>
      </w:r>
      <w:r w:rsidR="00AA371D" w:rsidRPr="008E0A90">
        <w:rPr>
          <w:rFonts w:cs="Calibri"/>
          <w:sz w:val="24"/>
          <w:szCs w:val="24"/>
        </w:rPr>
        <w:t>Modèle générique du processus de production statistique (</w:t>
      </w:r>
      <w:r w:rsidR="002B13D6" w:rsidRPr="008E0A90">
        <w:rPr>
          <w:rFonts w:cs="Calibri"/>
          <w:sz w:val="24"/>
          <w:szCs w:val="24"/>
        </w:rPr>
        <w:t>GSBPM</w:t>
      </w:r>
      <w:r w:rsidR="00AA371D" w:rsidRPr="008E0A90">
        <w:rPr>
          <w:rFonts w:cs="Calibri"/>
          <w:sz w:val="24"/>
          <w:szCs w:val="24"/>
        </w:rPr>
        <w:t>à</w:t>
      </w:r>
      <w:r w:rsidR="002B13D6" w:rsidRPr="008E0A90">
        <w:rPr>
          <w:rFonts w:cs="Calibri"/>
          <w:sz w:val="24"/>
          <w:szCs w:val="24"/>
        </w:rPr>
        <w:t xml:space="preserve"> des UN/OECD/Eurostat …., avec la capitalisation des travaux de coopération avec Eurostat</w:t>
      </w:r>
      <w:r w:rsidR="00A73DE9" w:rsidRPr="008E0A90">
        <w:rPr>
          <w:rFonts w:cs="Calibri"/>
          <w:sz w:val="24"/>
          <w:szCs w:val="24"/>
        </w:rPr>
        <w:t>.</w:t>
      </w:r>
    </w:p>
    <w:p w:rsidR="00AA371D" w:rsidRPr="008E0A90" w:rsidRDefault="00F82C89" w:rsidP="00AA371D">
      <w:pPr>
        <w:tabs>
          <w:tab w:val="num" w:pos="720"/>
        </w:tabs>
        <w:jc w:val="both"/>
        <w:rPr>
          <w:rFonts w:cs="Calibri"/>
          <w:sz w:val="24"/>
          <w:szCs w:val="24"/>
        </w:rPr>
      </w:pPr>
      <w:r w:rsidRPr="008E0A90">
        <w:rPr>
          <w:rFonts w:cs="Calibri"/>
          <w:sz w:val="24"/>
          <w:szCs w:val="24"/>
        </w:rPr>
        <w:lastRenderedPageBreak/>
        <w:t xml:space="preserve">Enfin et en matière de diffusion des statistiques, l’ONS </w:t>
      </w:r>
      <w:r w:rsidR="002B13D6" w:rsidRPr="008E0A90">
        <w:rPr>
          <w:rFonts w:cs="Calibri"/>
          <w:sz w:val="24"/>
          <w:szCs w:val="24"/>
        </w:rPr>
        <w:t>dispose d’un calendrier des publications préalablement annoncé</w:t>
      </w:r>
      <w:r w:rsidR="00AA371D" w:rsidRPr="008E0A90">
        <w:rPr>
          <w:rFonts w:cs="Calibri"/>
          <w:sz w:val="24"/>
          <w:szCs w:val="24"/>
        </w:rPr>
        <w:t xml:space="preserve"> (conformité avec le P4 de la CAS et avec l’OS 4.2 de la SHaSA II).</w:t>
      </w:r>
    </w:p>
    <w:p w:rsidR="00100FA8" w:rsidRDefault="00F25B11" w:rsidP="002A771A">
      <w:pPr>
        <w:tabs>
          <w:tab w:val="num" w:pos="720"/>
        </w:tabs>
        <w:jc w:val="both"/>
        <w:rPr>
          <w:rFonts w:cs="Calibri"/>
          <w:sz w:val="24"/>
          <w:szCs w:val="24"/>
        </w:rPr>
      </w:pPr>
      <w:r w:rsidRPr="008E0A90">
        <w:rPr>
          <w:rFonts w:cs="Calibri"/>
          <w:sz w:val="24"/>
          <w:szCs w:val="24"/>
        </w:rPr>
        <w:t xml:space="preserve">Par ailleurs, il y a lieu de signaler que la statistique algérienne est entièrement financée par le budget de l’Etat et de manière pérenne et ce, aussi bien pour les opérations statistiques récurrentes et routières que pour les opérations structurantes. A titre indicatif, la part du budget de l’ONS dans le budget global de l’Etat est </w:t>
      </w:r>
      <w:r w:rsidR="00D34CCF" w:rsidRPr="008E0A90">
        <w:rPr>
          <w:rFonts w:cs="Calibri"/>
          <w:sz w:val="24"/>
          <w:szCs w:val="24"/>
        </w:rPr>
        <w:t>passée</w:t>
      </w:r>
      <w:r w:rsidRPr="008E0A90">
        <w:rPr>
          <w:rFonts w:cs="Calibri"/>
          <w:sz w:val="24"/>
          <w:szCs w:val="24"/>
        </w:rPr>
        <w:t xml:space="preserve"> de 0,0157% en 2013 à 0,0162% en 2019.</w:t>
      </w:r>
    </w:p>
    <w:p w:rsidR="007E638F" w:rsidRPr="007E638F" w:rsidRDefault="007E638F" w:rsidP="002A771A">
      <w:pPr>
        <w:tabs>
          <w:tab w:val="num" w:pos="720"/>
        </w:tabs>
        <w:jc w:val="both"/>
        <w:rPr>
          <w:rFonts w:cs="Calibri"/>
          <w:sz w:val="2"/>
          <w:szCs w:val="2"/>
        </w:rPr>
      </w:pPr>
    </w:p>
    <w:p w:rsidR="000003BE" w:rsidRPr="009513E3" w:rsidRDefault="000003BE" w:rsidP="009513E3">
      <w:pPr>
        <w:jc w:val="both"/>
        <w:rPr>
          <w:rFonts w:cs="Calibri"/>
          <w:b/>
          <w:bCs/>
          <w:sz w:val="24"/>
          <w:szCs w:val="24"/>
        </w:rPr>
      </w:pPr>
      <w:r w:rsidRPr="007E638F">
        <w:rPr>
          <w:rFonts w:cs="Calibri"/>
          <w:b/>
          <w:bCs/>
          <w:sz w:val="24"/>
          <w:szCs w:val="24"/>
          <w:u w:val="single"/>
        </w:rPr>
        <w:t>Objectif 20</w:t>
      </w:r>
      <w:r w:rsidRPr="009513E3">
        <w:rPr>
          <w:rFonts w:cs="Calibri"/>
          <w:b/>
          <w:bCs/>
          <w:sz w:val="24"/>
          <w:szCs w:val="24"/>
        </w:rPr>
        <w:t>: l’Afrique assume l’entière responsabilité du financement de son développement</w:t>
      </w:r>
    </w:p>
    <w:p w:rsidR="000003BE" w:rsidRPr="009513E3" w:rsidRDefault="000003BE" w:rsidP="00FD0B90">
      <w:pPr>
        <w:jc w:val="both"/>
        <w:rPr>
          <w:rFonts w:cs="Calibri"/>
          <w:b/>
          <w:bCs/>
          <w:sz w:val="24"/>
          <w:szCs w:val="24"/>
          <w:u w:val="single"/>
        </w:rPr>
      </w:pPr>
      <w:r w:rsidRPr="009513E3">
        <w:rPr>
          <w:rFonts w:cs="Calibri"/>
          <w:b/>
          <w:bCs/>
          <w:sz w:val="24"/>
          <w:szCs w:val="24"/>
          <w:u w:val="single"/>
        </w:rPr>
        <w:t>Marché de capitaux</w:t>
      </w:r>
    </w:p>
    <w:p w:rsidR="000003BE" w:rsidRPr="008E0A90" w:rsidRDefault="00CA51B4" w:rsidP="00CA51B4">
      <w:pPr>
        <w:jc w:val="both"/>
        <w:rPr>
          <w:rFonts w:cs="Calibri"/>
          <w:sz w:val="24"/>
          <w:szCs w:val="24"/>
        </w:rPr>
      </w:pPr>
      <w:r w:rsidRPr="008E0A90">
        <w:rPr>
          <w:rFonts w:cs="Calibri"/>
          <w:sz w:val="24"/>
          <w:szCs w:val="24"/>
        </w:rPr>
        <w:t xml:space="preserve">Se situant à un niveau de 6.024,1 milliards de DA en 2013, le budget de l’Etat (fonctionnement et équipement) a atteint 7.899,1 milliards de DA en 2018, soit une hausse nominale de 31,1% sur la période. </w:t>
      </w:r>
      <w:r w:rsidR="000003BE" w:rsidRPr="008E0A90">
        <w:rPr>
          <w:rFonts w:cs="Calibri"/>
          <w:sz w:val="24"/>
          <w:szCs w:val="24"/>
        </w:rPr>
        <w:t xml:space="preserve">Le budget d’équipement de l’Etat est scindé en deux (02) catégories de dépenses celles d’investissement et celles en opération en capital. </w:t>
      </w:r>
      <w:r w:rsidRPr="008E0A90">
        <w:rPr>
          <w:rFonts w:cs="Calibri"/>
          <w:sz w:val="24"/>
          <w:szCs w:val="24"/>
        </w:rPr>
        <w:t>Il est passé de 1892,3 milliards de DA en 2013 à 3228,8 milliards de DA en 2018, soit un taux d’accroissement nominal de 70,6%, taux bien supérieur à celui du budget global.</w:t>
      </w:r>
    </w:p>
    <w:p w:rsidR="000003BE" w:rsidRDefault="000003BE" w:rsidP="00F25B11">
      <w:pPr>
        <w:jc w:val="both"/>
        <w:rPr>
          <w:rFonts w:cs="Calibri"/>
          <w:sz w:val="24"/>
          <w:szCs w:val="24"/>
        </w:rPr>
      </w:pPr>
      <w:r w:rsidRPr="008E0A90">
        <w:rPr>
          <w:rFonts w:cs="Calibri"/>
          <w:sz w:val="24"/>
          <w:szCs w:val="24"/>
        </w:rPr>
        <w:t>Le recours au financement du secteur public par le marché de capitaux tels qu’il existe en Algérie a évolué dans un contexte caractérisé par la mise en œuvre du cadre budgétaire à moyen terme (2020-2022) et des tensions provoquées par les fluctuations des revenus des exportations des hydrocarbures. Le choix du non recours au financement extérieur et l’adoption d’un financement non conventionnel, a donné une plus grande dynamique au marché intérieur, notamment, celui des valeurs de Trésor sur son premier compartiment d’émission et sur son second compartiment de négociation. Ainsi, la proportion du budget du secteur public financée par les marchés de capitaux nationaux à enregistrée un bond extraordinaire passant d’un niveau de 2</w:t>
      </w:r>
      <w:r w:rsidR="00AA371D" w:rsidRPr="008E0A90">
        <w:rPr>
          <w:rFonts w:cs="Calibri"/>
          <w:sz w:val="24"/>
          <w:szCs w:val="24"/>
        </w:rPr>
        <w:t>,</w:t>
      </w:r>
      <w:r w:rsidRPr="008E0A90">
        <w:rPr>
          <w:rFonts w:cs="Calibri"/>
          <w:sz w:val="24"/>
          <w:szCs w:val="24"/>
        </w:rPr>
        <w:t>23% en 2013 à 34% en 2018, réalisant un indice de performance très appréciable</w:t>
      </w:r>
      <w:r w:rsidR="007E638F">
        <w:rPr>
          <w:rFonts w:cs="Calibri"/>
          <w:sz w:val="24"/>
          <w:szCs w:val="24"/>
        </w:rPr>
        <w:t>.</w:t>
      </w:r>
    </w:p>
    <w:p w:rsidR="007E638F" w:rsidRPr="007E638F" w:rsidRDefault="007E638F" w:rsidP="00F25B11">
      <w:pPr>
        <w:jc w:val="both"/>
        <w:rPr>
          <w:rFonts w:cs="Calibri"/>
          <w:sz w:val="6"/>
          <w:szCs w:val="6"/>
        </w:rPr>
      </w:pPr>
    </w:p>
    <w:p w:rsidR="000003BE" w:rsidRPr="009513E3" w:rsidRDefault="000003BE" w:rsidP="00FD0B90">
      <w:pPr>
        <w:jc w:val="both"/>
        <w:rPr>
          <w:rFonts w:cs="Calibri"/>
          <w:b/>
          <w:bCs/>
          <w:sz w:val="24"/>
          <w:szCs w:val="24"/>
          <w:u w:val="single"/>
        </w:rPr>
      </w:pPr>
      <w:r w:rsidRPr="009513E3">
        <w:rPr>
          <w:rFonts w:cs="Calibri"/>
          <w:b/>
          <w:bCs/>
          <w:sz w:val="24"/>
          <w:szCs w:val="24"/>
          <w:u w:val="single"/>
        </w:rPr>
        <w:t>Système fiscal et recette du secteur public</w:t>
      </w:r>
    </w:p>
    <w:p w:rsidR="000003BE" w:rsidRPr="008E0A90" w:rsidRDefault="000003BE" w:rsidP="00FD0B90">
      <w:pPr>
        <w:jc w:val="both"/>
        <w:rPr>
          <w:rFonts w:cs="Calibri"/>
          <w:sz w:val="24"/>
          <w:szCs w:val="24"/>
        </w:rPr>
      </w:pPr>
      <w:r w:rsidRPr="008E0A90">
        <w:rPr>
          <w:rFonts w:cs="Calibri"/>
          <w:sz w:val="24"/>
          <w:szCs w:val="24"/>
        </w:rPr>
        <w:t>Le Cadre Budgétaire à Moyen Terme (CBMT) sur la période 2020-2022 qui s’inscrit dans le processus d’amélioration de la gestion des finances publiques permettra au Gouvernement de poursuivre la mise en œuvre de la stratégie qui repose sur la maîtrise de la dépense publique et l’amélioration progressive des recettes fiscales.</w:t>
      </w:r>
    </w:p>
    <w:p w:rsidR="000003BE" w:rsidRDefault="000003BE" w:rsidP="00FD0B90">
      <w:pPr>
        <w:jc w:val="both"/>
        <w:rPr>
          <w:rFonts w:cs="Calibri"/>
          <w:sz w:val="24"/>
          <w:szCs w:val="24"/>
        </w:rPr>
      </w:pPr>
      <w:r w:rsidRPr="008E0A90">
        <w:rPr>
          <w:rFonts w:cs="Calibri"/>
          <w:sz w:val="24"/>
          <w:szCs w:val="24"/>
        </w:rPr>
        <w:t>L’évolution des ressources budgétaires fait ressortir, d’une part, l’instabilité des recettes de la fiscalité pétrolière liée aux incertitudes qui entourent le marché pétrolier et d’autre part, la régression continue des recettes des droits de douane et de la TVA/Import sous l’effet de l’encadrement des importations de biens et services, de l’impact des accords de libre-échange et des autres régimes préférentiels.</w:t>
      </w:r>
    </w:p>
    <w:p w:rsidR="007E638F" w:rsidRPr="008E0A90" w:rsidRDefault="007E638F" w:rsidP="00FD0B90">
      <w:pPr>
        <w:jc w:val="both"/>
        <w:rPr>
          <w:rFonts w:cs="Calibri"/>
          <w:sz w:val="24"/>
          <w:szCs w:val="24"/>
        </w:rPr>
      </w:pPr>
    </w:p>
    <w:p w:rsidR="000003BE" w:rsidRPr="008E0A90" w:rsidRDefault="000003BE" w:rsidP="00FD0B90">
      <w:pPr>
        <w:jc w:val="both"/>
        <w:rPr>
          <w:rFonts w:cs="Calibri"/>
          <w:sz w:val="24"/>
          <w:szCs w:val="24"/>
        </w:rPr>
      </w:pPr>
      <w:r w:rsidRPr="008E0A90">
        <w:rPr>
          <w:rFonts w:cs="Calibri"/>
          <w:sz w:val="24"/>
          <w:szCs w:val="24"/>
        </w:rPr>
        <w:lastRenderedPageBreak/>
        <w:t>La fiscalité constitue l’outil privilégié de régulation socio-économique visant (i) l’encouragement de l’investissement, (ii) l’équilibre territorial, (iii) la protection de l’environnement et la préservation des ressources naturelles, (iv) la promotion de l’emploi et (v) le soutien du pouvoir d’achat des ménages.</w:t>
      </w:r>
    </w:p>
    <w:p w:rsidR="000003BE" w:rsidRPr="008E0A90" w:rsidRDefault="000003BE" w:rsidP="00FD0B90">
      <w:pPr>
        <w:jc w:val="both"/>
        <w:rPr>
          <w:rFonts w:cs="Calibri"/>
          <w:sz w:val="24"/>
          <w:szCs w:val="24"/>
        </w:rPr>
      </w:pPr>
      <w:r w:rsidRPr="008E0A90">
        <w:rPr>
          <w:rFonts w:cs="Calibri"/>
          <w:sz w:val="24"/>
          <w:szCs w:val="24"/>
        </w:rPr>
        <w:t xml:space="preserve">La baisse des prix des hydrocarbures depuis le second semestre 2014 a révélé l’importance de la mobilisation des ressources publiques fiscales intérieures. Ainsi, et dans un souci d’amélioration et de réorganisation du système fiscale, un système d’information fiscal intégré basé sur la numérisation des </w:t>
      </w:r>
      <w:r w:rsidR="00DD01F9" w:rsidRPr="008E0A90">
        <w:rPr>
          <w:rFonts w:cs="Calibri"/>
          <w:sz w:val="24"/>
          <w:szCs w:val="24"/>
        </w:rPr>
        <w:t>procédures</w:t>
      </w:r>
      <w:r w:rsidRPr="008E0A90">
        <w:rPr>
          <w:rFonts w:cs="Calibri"/>
          <w:sz w:val="24"/>
          <w:szCs w:val="24"/>
        </w:rPr>
        <w:t xml:space="preserve"> (CDI-CPI) est en cours de finalisation. Afin de renforcer les capacités nationales de recouvrement des recettes fiscales, le Gouvernement s’est engagé dans un processus d’amélioration de la performance du système fiscal et de modernisation de l’administration des Impôts et des Douanes. </w:t>
      </w:r>
    </w:p>
    <w:p w:rsidR="000003BE" w:rsidRPr="008E0A90" w:rsidRDefault="000003BE" w:rsidP="00CA51B4">
      <w:pPr>
        <w:jc w:val="both"/>
        <w:rPr>
          <w:rFonts w:cs="Calibri"/>
          <w:sz w:val="24"/>
          <w:szCs w:val="24"/>
        </w:rPr>
      </w:pPr>
      <w:r w:rsidRPr="008E0A90">
        <w:rPr>
          <w:rFonts w:cs="Calibri"/>
          <w:sz w:val="24"/>
          <w:szCs w:val="24"/>
        </w:rPr>
        <w:t>Avec son Plan Stratégique 2015-2019, l’administration des Douanes œuvre pour une plus grande rigueur dans l’optimisation de ses ressources à travers, notamment, une plus grande facilitation des procédures douanières, une modernisation de ses services, le renforcement du contrôle douanier et la consolidation de la coopération douanière internationale. Ces actions de modernisation ont conduit à une progression des recettes budgétaires sur la période 2015-2018 tirée, principalement, par la fiscalité ordinaire (ressources non pétrolières) qui a augmenté de plus de 12% par an, en moyenne, sur la même période. Rapporté au PIB, le total des recettes budgétaires s’est nettement améliorée passant de     23</w:t>
      </w:r>
      <w:r w:rsidR="00CA51B4" w:rsidRPr="008E0A90">
        <w:rPr>
          <w:rFonts w:cs="Calibri"/>
          <w:sz w:val="24"/>
          <w:szCs w:val="24"/>
        </w:rPr>
        <w:t>,</w:t>
      </w:r>
      <w:r w:rsidRPr="008E0A90">
        <w:rPr>
          <w:rFonts w:cs="Calibri"/>
          <w:sz w:val="24"/>
          <w:szCs w:val="24"/>
        </w:rPr>
        <w:t>39% en 2013 à 31</w:t>
      </w:r>
      <w:r w:rsidR="00CA51B4" w:rsidRPr="008E0A90">
        <w:rPr>
          <w:rFonts w:cs="Calibri"/>
          <w:sz w:val="24"/>
          <w:szCs w:val="24"/>
        </w:rPr>
        <w:t>,</w:t>
      </w:r>
      <w:r w:rsidRPr="008E0A90">
        <w:rPr>
          <w:rFonts w:cs="Calibri"/>
          <w:sz w:val="24"/>
          <w:szCs w:val="24"/>
        </w:rPr>
        <w:t>16% en 2018. Le taux de couverture des dépenses de fonctionnement par la fiscalité ordinaire indique une amélioration de près de 30 points de pourcentage entre 2013 et 2018. Durant la même période, les recettes fiscales représentaient 24</w:t>
      </w:r>
      <w:r w:rsidR="00CA51B4" w:rsidRPr="008E0A90">
        <w:rPr>
          <w:rFonts w:cs="Calibri"/>
          <w:sz w:val="24"/>
          <w:szCs w:val="24"/>
        </w:rPr>
        <w:t>,</w:t>
      </w:r>
      <w:r w:rsidRPr="008E0A90">
        <w:rPr>
          <w:rFonts w:cs="Calibri"/>
          <w:sz w:val="24"/>
          <w:szCs w:val="24"/>
        </w:rPr>
        <w:t>4% et 27</w:t>
      </w:r>
      <w:r w:rsidR="00CA51B4" w:rsidRPr="008E0A90">
        <w:rPr>
          <w:rFonts w:cs="Calibri"/>
          <w:sz w:val="24"/>
          <w:szCs w:val="24"/>
        </w:rPr>
        <w:t>,</w:t>
      </w:r>
      <w:r w:rsidRPr="008E0A90">
        <w:rPr>
          <w:rFonts w:cs="Calibri"/>
          <w:sz w:val="24"/>
          <w:szCs w:val="24"/>
        </w:rPr>
        <w:t>8% du PIB respectivement en 2013 et 2018. L’indice de performance enregistré pour l’indicateur en question indique un niveau de 11%, un niveau très acceptable dans la mesure o</w:t>
      </w:r>
      <w:r w:rsidR="00CA51B4" w:rsidRPr="008E0A90">
        <w:rPr>
          <w:rFonts w:cs="Calibri"/>
          <w:sz w:val="24"/>
          <w:szCs w:val="24"/>
        </w:rPr>
        <w:t>ù</w:t>
      </w:r>
      <w:r w:rsidRPr="008E0A90">
        <w:rPr>
          <w:rFonts w:cs="Calibri"/>
          <w:sz w:val="24"/>
          <w:szCs w:val="24"/>
        </w:rPr>
        <w:t xml:space="preserve"> le niveau des objectifs relatifs à la pression fiscale et le taux de couverture des dépenses de fonctionnement par la fiscalité ordinaire se situent à des niveaux satisfaisants.</w:t>
      </w:r>
    </w:p>
    <w:p w:rsidR="000D20A9" w:rsidRPr="008E0A90" w:rsidRDefault="000003BE" w:rsidP="00C64031">
      <w:pPr>
        <w:jc w:val="both"/>
        <w:rPr>
          <w:rFonts w:cs="Calibri"/>
          <w:sz w:val="24"/>
          <w:szCs w:val="24"/>
        </w:rPr>
      </w:pPr>
      <w:r w:rsidRPr="008E0A90">
        <w:rPr>
          <w:rFonts w:cs="Calibri"/>
          <w:sz w:val="24"/>
          <w:szCs w:val="24"/>
        </w:rPr>
        <w:t>Concernant l’indicateur 66 « ressources mobilisées grâce à des mécanismes de financement innovants en pourcentage du budget national » Ces mécanismes non traditionnels peuvent drainer des fonds supplémentaires pour le développement à l’image du partenariat (PPP)  et constituent des instruments primordiaux en période de difficulté financière afin d’assurer la continuité du financement des grands projet</w:t>
      </w:r>
      <w:r w:rsidR="00197B97" w:rsidRPr="008E0A90">
        <w:rPr>
          <w:rFonts w:cs="Calibri"/>
          <w:sz w:val="24"/>
          <w:szCs w:val="24"/>
        </w:rPr>
        <w:t>s d’</w:t>
      </w:r>
      <w:r w:rsidR="00D03F03" w:rsidRPr="008E0A90">
        <w:rPr>
          <w:rFonts w:cs="Calibri"/>
          <w:sz w:val="24"/>
          <w:szCs w:val="24"/>
        </w:rPr>
        <w:t>investissement. En</w:t>
      </w:r>
      <w:r w:rsidRPr="008E0A90">
        <w:rPr>
          <w:rFonts w:cs="Calibri"/>
          <w:sz w:val="24"/>
          <w:szCs w:val="24"/>
        </w:rPr>
        <w:t xml:space="preserve"> Algérie, ce type de ressources ne </w:t>
      </w:r>
      <w:r w:rsidR="00D750CB" w:rsidRPr="008E0A90">
        <w:rPr>
          <w:rFonts w:cs="Calibri"/>
          <w:sz w:val="24"/>
          <w:szCs w:val="24"/>
        </w:rPr>
        <w:t>contribue</w:t>
      </w:r>
      <w:r w:rsidRPr="008E0A90">
        <w:rPr>
          <w:rFonts w:cs="Calibri"/>
          <w:sz w:val="24"/>
          <w:szCs w:val="24"/>
        </w:rPr>
        <w:t xml:space="preserve"> pas d’une manière significative au financement des grands projets de développement.</w:t>
      </w:r>
    </w:p>
    <w:p w:rsidR="000003BE" w:rsidRPr="009513E3" w:rsidRDefault="000003BE" w:rsidP="00FD0B90">
      <w:pPr>
        <w:jc w:val="both"/>
        <w:rPr>
          <w:rFonts w:cs="Calibri"/>
          <w:b/>
          <w:bCs/>
          <w:sz w:val="24"/>
          <w:szCs w:val="24"/>
          <w:u w:val="single"/>
        </w:rPr>
      </w:pPr>
      <w:r w:rsidRPr="009513E3">
        <w:rPr>
          <w:rFonts w:cs="Calibri"/>
          <w:b/>
          <w:bCs/>
          <w:sz w:val="24"/>
          <w:szCs w:val="24"/>
          <w:u w:val="single"/>
        </w:rPr>
        <w:t>Aide au développement</w:t>
      </w:r>
    </w:p>
    <w:p w:rsidR="000003BE" w:rsidRPr="008E0A90" w:rsidRDefault="000003BE" w:rsidP="00FD0B90">
      <w:pPr>
        <w:jc w:val="both"/>
        <w:rPr>
          <w:rFonts w:cs="Calibri"/>
          <w:sz w:val="24"/>
          <w:szCs w:val="24"/>
        </w:rPr>
      </w:pPr>
      <w:r w:rsidRPr="008E0A90">
        <w:rPr>
          <w:rFonts w:cs="Calibri"/>
          <w:sz w:val="24"/>
          <w:szCs w:val="24"/>
        </w:rPr>
        <w:t xml:space="preserve">L’action du Gouvernement est centrée sur le renforcement et la modernisation des activités financières, le renforcement de la lutte contre la corruption, l’amélioration du climat des affaires, la refonte du cadre de l’investissement et la mobilisation du foncier industriel. Ce sont autant de mesures qui stimulent l’investissement productif privé pouvant financer le développement durable. Des ressources financières supplémentaires peuvent être mobilisées et allouées au développement durable à travers, notamment, l’investissement direct étranger (IDE) et les envois de fonds des émigrés. </w:t>
      </w:r>
    </w:p>
    <w:p w:rsidR="000003BE" w:rsidRPr="008E0A90" w:rsidRDefault="000003BE" w:rsidP="00677690">
      <w:pPr>
        <w:jc w:val="both"/>
        <w:rPr>
          <w:rFonts w:cs="Calibri"/>
          <w:sz w:val="24"/>
          <w:szCs w:val="24"/>
        </w:rPr>
      </w:pPr>
      <w:r w:rsidRPr="008E0A90">
        <w:rPr>
          <w:rFonts w:cs="Calibri"/>
          <w:sz w:val="24"/>
          <w:szCs w:val="24"/>
        </w:rPr>
        <w:lastRenderedPageBreak/>
        <w:t>En matière d’IDE, l’Algérie est passée de 0,69 milliard de dollars US en 2015 à 1,21 milliard de dollars US en 2017 et 1</w:t>
      </w:r>
      <w:r w:rsidR="00677690" w:rsidRPr="008E0A90">
        <w:rPr>
          <w:rFonts w:cs="Calibri"/>
          <w:sz w:val="24"/>
          <w:szCs w:val="24"/>
        </w:rPr>
        <w:t>,</w:t>
      </w:r>
      <w:r w:rsidRPr="008E0A90">
        <w:rPr>
          <w:rFonts w:cs="Calibri"/>
          <w:sz w:val="24"/>
          <w:szCs w:val="24"/>
        </w:rPr>
        <w:t xml:space="preserve">5 milliards de dollars en 2018. </w:t>
      </w:r>
    </w:p>
    <w:p w:rsidR="000003BE" w:rsidRPr="008E0A90" w:rsidRDefault="000003BE" w:rsidP="008A6DB2">
      <w:pPr>
        <w:jc w:val="both"/>
        <w:rPr>
          <w:rFonts w:cs="Calibri"/>
          <w:sz w:val="24"/>
          <w:szCs w:val="24"/>
        </w:rPr>
      </w:pPr>
      <w:r w:rsidRPr="008E0A90">
        <w:rPr>
          <w:rFonts w:cs="Calibri"/>
          <w:sz w:val="24"/>
          <w:szCs w:val="24"/>
        </w:rPr>
        <w:t>Les travailleurs émigrés, de leur part, contribuent également à la croissance économique et au développement durable du pays grâce aux transferts de fonds destinés aux besoins de leurs familles ou à la création d’entreprises. Ces envois se sont ainsi élevés à 1,8 et 2</w:t>
      </w:r>
      <w:r w:rsidR="008A6DB2" w:rsidRPr="008E0A90">
        <w:rPr>
          <w:rFonts w:cs="Calibri"/>
          <w:sz w:val="24"/>
          <w:szCs w:val="24"/>
        </w:rPr>
        <w:t>,</w:t>
      </w:r>
      <w:r w:rsidRPr="008E0A90">
        <w:rPr>
          <w:rFonts w:cs="Calibri"/>
          <w:sz w:val="24"/>
          <w:szCs w:val="24"/>
        </w:rPr>
        <w:t xml:space="preserve">1 milliards de dollars US, respectivement, en 2017 et 2018 représentant plus de 1,1% du PIB. </w:t>
      </w:r>
    </w:p>
    <w:p w:rsidR="00D03F03" w:rsidRDefault="000003BE" w:rsidP="00D03F03">
      <w:pPr>
        <w:jc w:val="both"/>
        <w:rPr>
          <w:rFonts w:cs="Calibri"/>
          <w:sz w:val="24"/>
          <w:szCs w:val="24"/>
        </w:rPr>
      </w:pPr>
      <w:r w:rsidRPr="008E0A90">
        <w:rPr>
          <w:rFonts w:cs="Calibri"/>
          <w:sz w:val="24"/>
          <w:szCs w:val="24"/>
        </w:rPr>
        <w:t xml:space="preserve">L’Algérie appartenant au groupe de pays à revenu intermédiaire, de ce fait l’aide publique au développement destinée vers l’Algérie est relativement faible. L’indicateur demandé dans ce domaine de priorité est largement atteint dans la mesure </w:t>
      </w:r>
      <w:r w:rsidR="00823104" w:rsidRPr="008E0A90">
        <w:rPr>
          <w:rFonts w:cs="Calibri"/>
          <w:sz w:val="24"/>
          <w:szCs w:val="24"/>
        </w:rPr>
        <w:t>où</w:t>
      </w:r>
      <w:r w:rsidRPr="008E0A90">
        <w:rPr>
          <w:rFonts w:cs="Calibri"/>
          <w:sz w:val="24"/>
          <w:szCs w:val="24"/>
        </w:rPr>
        <w:t xml:space="preserve"> le recours aux aides publique au développement par l’Algérie demeure insignifiant très largement au-dessous de l’objectif de réduction de 25% cible de l’Agenda 2063.</w:t>
      </w:r>
    </w:p>
    <w:p w:rsidR="007E638F" w:rsidRPr="007E638F" w:rsidRDefault="007E638F" w:rsidP="00D03F03">
      <w:pPr>
        <w:jc w:val="both"/>
        <w:rPr>
          <w:rFonts w:cs="Calibri"/>
          <w:sz w:val="18"/>
          <w:szCs w:val="18"/>
        </w:rPr>
      </w:pPr>
    </w:p>
    <w:p w:rsidR="00624EE1" w:rsidRPr="009513E3" w:rsidRDefault="00CC2B09" w:rsidP="00624EE1">
      <w:pPr>
        <w:rPr>
          <w:rFonts w:cs="Calibri"/>
          <w:b/>
          <w:bCs/>
          <w:sz w:val="24"/>
          <w:szCs w:val="24"/>
          <w:u w:val="single"/>
        </w:rPr>
      </w:pPr>
      <w:r>
        <w:rPr>
          <w:rFonts w:cs="Calibri"/>
          <w:b/>
          <w:bCs/>
          <w:sz w:val="24"/>
          <w:szCs w:val="24"/>
          <w:u w:val="single"/>
        </w:rPr>
        <w:t xml:space="preserve">IV- </w:t>
      </w:r>
      <w:r w:rsidR="00624EE1" w:rsidRPr="009513E3">
        <w:rPr>
          <w:rFonts w:cs="Calibri"/>
          <w:b/>
          <w:bCs/>
          <w:sz w:val="24"/>
          <w:szCs w:val="24"/>
          <w:u w:val="single"/>
        </w:rPr>
        <w:t>RECOMMENDATIONS</w:t>
      </w:r>
    </w:p>
    <w:p w:rsidR="00624EE1" w:rsidRPr="008E0A90" w:rsidRDefault="00624EE1" w:rsidP="00D25AEB">
      <w:pPr>
        <w:jc w:val="both"/>
        <w:rPr>
          <w:rFonts w:cs="Calibri"/>
          <w:sz w:val="24"/>
          <w:szCs w:val="24"/>
        </w:rPr>
      </w:pPr>
      <w:r w:rsidRPr="008E0A90">
        <w:rPr>
          <w:rFonts w:cs="Calibri"/>
          <w:sz w:val="24"/>
          <w:szCs w:val="24"/>
        </w:rPr>
        <w:t xml:space="preserve">Nous recommandons de privilégier les données nationales aux données émanant des institutions internationales et régionales et </w:t>
      </w:r>
      <w:r w:rsidR="00D25AEB">
        <w:rPr>
          <w:rFonts w:cs="Calibri"/>
          <w:sz w:val="24"/>
          <w:szCs w:val="24"/>
        </w:rPr>
        <w:t>de tenir compte au niveau national d</w:t>
      </w:r>
      <w:r w:rsidRPr="008E0A90">
        <w:rPr>
          <w:rFonts w:cs="Calibri"/>
          <w:sz w:val="24"/>
          <w:szCs w:val="24"/>
        </w:rPr>
        <w:t xml:space="preserve">es données </w:t>
      </w:r>
      <w:r w:rsidR="00D25AEB">
        <w:rPr>
          <w:rFonts w:cs="Calibri"/>
          <w:sz w:val="24"/>
          <w:szCs w:val="24"/>
        </w:rPr>
        <w:t>pourvues</w:t>
      </w:r>
      <w:r w:rsidRPr="008E0A90">
        <w:rPr>
          <w:rFonts w:cs="Calibri"/>
          <w:sz w:val="24"/>
          <w:szCs w:val="24"/>
        </w:rPr>
        <w:t xml:space="preserve"> </w:t>
      </w:r>
      <w:r w:rsidR="00D25AEB">
        <w:rPr>
          <w:rFonts w:cs="Calibri"/>
          <w:sz w:val="24"/>
          <w:szCs w:val="24"/>
        </w:rPr>
        <w:t xml:space="preserve">par le </w:t>
      </w:r>
      <w:r w:rsidRPr="008E0A90">
        <w:rPr>
          <w:rFonts w:cs="Calibri"/>
          <w:sz w:val="24"/>
          <w:szCs w:val="24"/>
        </w:rPr>
        <w:t xml:space="preserve"> secteur lui-même. </w:t>
      </w:r>
      <w:r>
        <w:rPr>
          <w:rFonts w:cs="Calibri"/>
          <w:sz w:val="24"/>
          <w:szCs w:val="24"/>
        </w:rPr>
        <w:t>De</w:t>
      </w:r>
      <w:r w:rsidRPr="008E0A90">
        <w:rPr>
          <w:rFonts w:cs="Calibri"/>
          <w:sz w:val="24"/>
          <w:szCs w:val="24"/>
        </w:rPr>
        <w:t xml:space="preserve"> plus, la priorité </w:t>
      </w:r>
      <w:r>
        <w:rPr>
          <w:rFonts w:cs="Calibri"/>
          <w:sz w:val="24"/>
          <w:szCs w:val="24"/>
        </w:rPr>
        <w:t xml:space="preserve">devrait être </w:t>
      </w:r>
      <w:r w:rsidRPr="008E0A90">
        <w:rPr>
          <w:rFonts w:cs="Calibri"/>
          <w:sz w:val="24"/>
          <w:szCs w:val="24"/>
        </w:rPr>
        <w:t xml:space="preserve">accordée aux données issues d’observation directes (enquêtes). </w:t>
      </w:r>
    </w:p>
    <w:p w:rsidR="00624EE1" w:rsidRPr="008E0A90" w:rsidRDefault="00624EE1" w:rsidP="00D25AEB">
      <w:pPr>
        <w:jc w:val="both"/>
        <w:rPr>
          <w:rFonts w:cs="Calibri"/>
          <w:sz w:val="24"/>
          <w:szCs w:val="24"/>
        </w:rPr>
      </w:pPr>
      <w:r w:rsidRPr="008E0A90">
        <w:rPr>
          <w:rFonts w:cs="Calibri"/>
          <w:sz w:val="24"/>
          <w:szCs w:val="24"/>
        </w:rPr>
        <w:t>On peut recommander</w:t>
      </w:r>
      <w:r w:rsidR="00D25AEB">
        <w:rPr>
          <w:rFonts w:cs="Calibri"/>
          <w:sz w:val="24"/>
          <w:szCs w:val="24"/>
        </w:rPr>
        <w:t>,</w:t>
      </w:r>
      <w:r w:rsidRPr="008E0A90">
        <w:rPr>
          <w:rFonts w:cs="Calibri"/>
          <w:sz w:val="24"/>
          <w:szCs w:val="24"/>
        </w:rPr>
        <w:t xml:space="preserve"> également</w:t>
      </w:r>
      <w:r w:rsidR="00D25AEB">
        <w:rPr>
          <w:rFonts w:cs="Calibri"/>
          <w:sz w:val="24"/>
          <w:szCs w:val="24"/>
        </w:rPr>
        <w:t>,</w:t>
      </w:r>
      <w:r w:rsidRPr="008E0A90">
        <w:rPr>
          <w:rFonts w:cs="Calibri"/>
          <w:sz w:val="24"/>
          <w:szCs w:val="24"/>
        </w:rPr>
        <w:t xml:space="preserve"> pour l’année de base 2013, </w:t>
      </w:r>
      <w:r w:rsidR="00D25AEB">
        <w:rPr>
          <w:rFonts w:cs="Calibri"/>
          <w:sz w:val="24"/>
          <w:szCs w:val="24"/>
        </w:rPr>
        <w:t xml:space="preserve">au cas ou celle-ci ne serait </w:t>
      </w:r>
      <w:r w:rsidRPr="008E0A90">
        <w:rPr>
          <w:rFonts w:cs="Calibri"/>
          <w:sz w:val="24"/>
          <w:szCs w:val="24"/>
        </w:rPr>
        <w:t xml:space="preserve"> pas pertinente pour un pays donné, de prendre une moyenne triennale ou quinquennale pour neutraliser les éventuels effets conjoncturels.</w:t>
      </w:r>
    </w:p>
    <w:p w:rsidR="00624EE1" w:rsidRPr="008E0A90" w:rsidRDefault="00624EE1" w:rsidP="00CC2B09">
      <w:pPr>
        <w:jc w:val="both"/>
        <w:rPr>
          <w:rFonts w:cs="Calibri"/>
          <w:sz w:val="24"/>
          <w:szCs w:val="24"/>
        </w:rPr>
      </w:pPr>
      <w:r w:rsidRPr="008E0A90">
        <w:rPr>
          <w:rFonts w:cs="Calibri"/>
          <w:sz w:val="24"/>
          <w:szCs w:val="24"/>
        </w:rPr>
        <w:t>La matrice des indicateurs établi</w:t>
      </w:r>
      <w:r w:rsidR="00D25AEB">
        <w:rPr>
          <w:rFonts w:cs="Calibri"/>
          <w:sz w:val="24"/>
          <w:szCs w:val="24"/>
        </w:rPr>
        <w:t>t</w:t>
      </w:r>
      <w:r w:rsidRPr="008E0A90">
        <w:rPr>
          <w:rFonts w:cs="Calibri"/>
          <w:sz w:val="24"/>
          <w:szCs w:val="24"/>
        </w:rPr>
        <w:t xml:space="preserve"> un mapping entre les indicateurs du </w:t>
      </w:r>
      <w:r>
        <w:rPr>
          <w:rFonts w:cs="Calibri"/>
          <w:sz w:val="24"/>
          <w:szCs w:val="24"/>
        </w:rPr>
        <w:t>1</w:t>
      </w:r>
      <w:r w:rsidRPr="009513E3">
        <w:rPr>
          <w:rFonts w:cs="Calibri"/>
          <w:sz w:val="24"/>
          <w:szCs w:val="24"/>
          <w:vertAlign w:val="superscript"/>
        </w:rPr>
        <w:t>er</w:t>
      </w:r>
      <w:r>
        <w:rPr>
          <w:rFonts w:cs="Calibri"/>
          <w:sz w:val="24"/>
          <w:szCs w:val="24"/>
        </w:rPr>
        <w:t xml:space="preserve"> plan décennal </w:t>
      </w:r>
      <w:r w:rsidRPr="008E0A90">
        <w:rPr>
          <w:rFonts w:cs="Calibri"/>
          <w:sz w:val="24"/>
          <w:szCs w:val="24"/>
        </w:rPr>
        <w:t xml:space="preserve"> 2013-2023 et ceux des ODD et les différents documents de travail concernant l’alignement de l’Agenda 2063 sur les ODD indiquent l’existence de 44 indicateurs sur les 66 indicateurs du </w:t>
      </w:r>
      <w:r w:rsidR="00CC2B09" w:rsidRPr="00CC2B09">
        <w:rPr>
          <w:rFonts w:cs="Calibri"/>
          <w:sz w:val="24"/>
          <w:szCs w:val="24"/>
        </w:rPr>
        <w:t>plan décennal</w:t>
      </w:r>
      <w:r w:rsidR="00CC2B09">
        <w:rPr>
          <w:rFonts w:cs="Calibri"/>
          <w:b/>
          <w:bCs/>
          <w:sz w:val="24"/>
          <w:szCs w:val="24"/>
        </w:rPr>
        <w:t xml:space="preserve"> </w:t>
      </w:r>
      <w:r w:rsidRPr="008E0A90">
        <w:rPr>
          <w:rFonts w:cs="Calibri"/>
          <w:sz w:val="24"/>
          <w:szCs w:val="24"/>
        </w:rPr>
        <w:t xml:space="preserve">qui ont une convergence à 100%, soit environ 70% des indicateurs du </w:t>
      </w:r>
      <w:r w:rsidR="00CC2B09">
        <w:rPr>
          <w:rFonts w:cs="Calibri"/>
          <w:sz w:val="24"/>
          <w:szCs w:val="24"/>
        </w:rPr>
        <w:t>plan décennal</w:t>
      </w:r>
      <w:r w:rsidRPr="008E0A90">
        <w:rPr>
          <w:rFonts w:cs="Calibri"/>
          <w:sz w:val="24"/>
          <w:szCs w:val="24"/>
        </w:rPr>
        <w:t xml:space="preserve">. Or, un examen approfondi de </w:t>
      </w:r>
      <w:r>
        <w:rPr>
          <w:rFonts w:cs="Calibri"/>
          <w:sz w:val="24"/>
          <w:szCs w:val="24"/>
        </w:rPr>
        <w:t>c</w:t>
      </w:r>
      <w:r w:rsidRPr="008E0A90">
        <w:rPr>
          <w:rFonts w:cs="Calibri"/>
          <w:sz w:val="24"/>
          <w:szCs w:val="24"/>
        </w:rPr>
        <w:t xml:space="preserve">es indicateurs </w:t>
      </w:r>
      <w:r w:rsidR="00D25AEB">
        <w:rPr>
          <w:rFonts w:cs="Calibri"/>
          <w:sz w:val="24"/>
          <w:szCs w:val="24"/>
        </w:rPr>
        <w:t>montre</w:t>
      </w:r>
      <w:r w:rsidRPr="008E0A90">
        <w:rPr>
          <w:rFonts w:cs="Calibri"/>
          <w:sz w:val="24"/>
          <w:szCs w:val="24"/>
        </w:rPr>
        <w:t xml:space="preserve"> que certains indicateurs ne </w:t>
      </w:r>
      <w:r w:rsidR="00D25AEB">
        <w:rPr>
          <w:rFonts w:cs="Calibri"/>
          <w:sz w:val="24"/>
          <w:szCs w:val="24"/>
        </w:rPr>
        <w:t xml:space="preserve">convergent pas </w:t>
      </w:r>
      <w:r w:rsidRPr="008E0A90">
        <w:rPr>
          <w:rFonts w:cs="Calibri"/>
          <w:sz w:val="24"/>
          <w:szCs w:val="24"/>
        </w:rPr>
        <w:t>à 100% et que</w:t>
      </w:r>
      <w:r w:rsidR="00D25AEB">
        <w:rPr>
          <w:rFonts w:cs="Calibri"/>
          <w:sz w:val="24"/>
          <w:szCs w:val="24"/>
        </w:rPr>
        <w:t>,</w:t>
      </w:r>
      <w:r w:rsidRPr="008E0A90">
        <w:rPr>
          <w:rFonts w:cs="Calibri"/>
          <w:sz w:val="24"/>
          <w:szCs w:val="24"/>
        </w:rPr>
        <w:t xml:space="preserve"> parfois</w:t>
      </w:r>
      <w:r w:rsidR="00D25AEB">
        <w:rPr>
          <w:rFonts w:cs="Calibri"/>
          <w:sz w:val="24"/>
          <w:szCs w:val="24"/>
        </w:rPr>
        <w:t>, les deux indicateurs n</w:t>
      </w:r>
      <w:r w:rsidRPr="008E0A90">
        <w:rPr>
          <w:rFonts w:cs="Calibri"/>
          <w:sz w:val="24"/>
          <w:szCs w:val="24"/>
        </w:rPr>
        <w:t>e représentent pas la même réalité.</w:t>
      </w:r>
    </w:p>
    <w:p w:rsidR="00D25AEB" w:rsidRDefault="00624EE1" w:rsidP="00D25AEB">
      <w:pPr>
        <w:jc w:val="both"/>
        <w:rPr>
          <w:rFonts w:cs="Calibri"/>
          <w:sz w:val="24"/>
          <w:szCs w:val="24"/>
        </w:rPr>
      </w:pPr>
      <w:r w:rsidRPr="008E0A90">
        <w:rPr>
          <w:rFonts w:cs="Calibri"/>
          <w:sz w:val="24"/>
          <w:szCs w:val="24"/>
        </w:rPr>
        <w:t xml:space="preserve">A titre d’exemple, à la cible 1.1.1 relative à l’accroissement du Revenu par habitat d’au moins 30% il est associé l’indicateur « Revenu National Brut par habitant » ce qui est </w:t>
      </w:r>
      <w:r w:rsidR="00D25AEB">
        <w:rPr>
          <w:rFonts w:cs="Calibri"/>
          <w:sz w:val="24"/>
          <w:szCs w:val="24"/>
        </w:rPr>
        <w:t>correspond</w:t>
      </w:r>
      <w:r w:rsidRPr="008E0A90">
        <w:rPr>
          <w:rFonts w:cs="Calibri"/>
          <w:sz w:val="24"/>
          <w:szCs w:val="24"/>
        </w:rPr>
        <w:t xml:space="preserve"> </w:t>
      </w:r>
      <w:r w:rsidR="00D25AEB">
        <w:rPr>
          <w:rFonts w:cs="Calibri"/>
          <w:sz w:val="24"/>
          <w:szCs w:val="24"/>
        </w:rPr>
        <w:t>à</w:t>
      </w:r>
      <w:r w:rsidRPr="008E0A90">
        <w:rPr>
          <w:rFonts w:cs="Calibri"/>
          <w:sz w:val="24"/>
          <w:szCs w:val="24"/>
        </w:rPr>
        <w:t xml:space="preserve"> la cible. </w:t>
      </w:r>
      <w:r w:rsidR="00D25AEB">
        <w:rPr>
          <w:rFonts w:cs="Calibri"/>
          <w:sz w:val="24"/>
          <w:szCs w:val="24"/>
        </w:rPr>
        <w:t>Toutefois,</w:t>
      </w:r>
      <w:r w:rsidRPr="008E0A90">
        <w:rPr>
          <w:rFonts w:cs="Calibri"/>
          <w:sz w:val="24"/>
          <w:szCs w:val="24"/>
        </w:rPr>
        <w:t xml:space="preserve"> </w:t>
      </w:r>
      <w:r w:rsidR="00D25AEB">
        <w:rPr>
          <w:rFonts w:cs="Calibri"/>
          <w:sz w:val="24"/>
          <w:szCs w:val="24"/>
        </w:rPr>
        <w:t xml:space="preserve">l’indicateurs « 8.1.1.1-, au titre des ODD, porte sur le  </w:t>
      </w:r>
      <w:r w:rsidRPr="008E0A90">
        <w:rPr>
          <w:rFonts w:cs="Calibri"/>
          <w:sz w:val="24"/>
          <w:szCs w:val="24"/>
        </w:rPr>
        <w:t xml:space="preserve">taux de croissance annuel du Produit Intérieur Brut (PIB) réel par Habitat ». </w:t>
      </w:r>
    </w:p>
    <w:p w:rsidR="007E638F" w:rsidRDefault="007E638F" w:rsidP="00D25AEB">
      <w:pPr>
        <w:jc w:val="both"/>
        <w:rPr>
          <w:rFonts w:cs="Calibri"/>
          <w:sz w:val="24"/>
          <w:szCs w:val="24"/>
        </w:rPr>
      </w:pPr>
    </w:p>
    <w:p w:rsidR="007E638F" w:rsidRDefault="007E638F" w:rsidP="00D25AEB">
      <w:pPr>
        <w:jc w:val="both"/>
        <w:rPr>
          <w:rFonts w:cs="Calibri"/>
          <w:sz w:val="24"/>
          <w:szCs w:val="24"/>
        </w:rPr>
      </w:pPr>
    </w:p>
    <w:p w:rsidR="007E638F" w:rsidRDefault="007E638F" w:rsidP="00D25AEB">
      <w:pPr>
        <w:jc w:val="both"/>
        <w:rPr>
          <w:rFonts w:cs="Calibri"/>
          <w:sz w:val="24"/>
          <w:szCs w:val="24"/>
        </w:rPr>
      </w:pPr>
    </w:p>
    <w:p w:rsidR="007E638F" w:rsidRDefault="007E638F" w:rsidP="00D25AEB">
      <w:pPr>
        <w:jc w:val="both"/>
        <w:rPr>
          <w:rFonts w:cs="Calibri"/>
          <w:sz w:val="24"/>
          <w:szCs w:val="24"/>
        </w:rPr>
      </w:pPr>
    </w:p>
    <w:p w:rsidR="007E638F" w:rsidRDefault="007E638F" w:rsidP="00D25AEB">
      <w:pPr>
        <w:jc w:val="both"/>
        <w:rPr>
          <w:rFonts w:cs="Calibri"/>
          <w:sz w:val="24"/>
          <w:szCs w:val="24"/>
        </w:rPr>
      </w:pPr>
    </w:p>
    <w:p w:rsidR="007E638F" w:rsidRDefault="007E638F" w:rsidP="00D25AEB">
      <w:pPr>
        <w:jc w:val="both"/>
        <w:rPr>
          <w:rFonts w:cs="Calibri"/>
          <w:sz w:val="24"/>
          <w:szCs w:val="24"/>
        </w:rPr>
      </w:pPr>
    </w:p>
    <w:p w:rsidR="00624EE1" w:rsidRDefault="00624EE1" w:rsidP="00D25AEB">
      <w:pPr>
        <w:jc w:val="both"/>
        <w:rPr>
          <w:rFonts w:cs="Calibri"/>
          <w:sz w:val="24"/>
          <w:szCs w:val="24"/>
        </w:rPr>
      </w:pPr>
      <w:r w:rsidRPr="008E0A90">
        <w:rPr>
          <w:rFonts w:cs="Calibri"/>
          <w:sz w:val="24"/>
          <w:szCs w:val="24"/>
        </w:rPr>
        <w:lastRenderedPageBreak/>
        <w:t>Le tableau suivan</w:t>
      </w:r>
      <w:r w:rsidR="00D25AEB">
        <w:rPr>
          <w:rFonts w:cs="Calibri"/>
          <w:sz w:val="24"/>
          <w:szCs w:val="24"/>
        </w:rPr>
        <w:t>t liste quelques indicateurs où</w:t>
      </w:r>
      <w:r w:rsidRPr="008E0A90">
        <w:rPr>
          <w:rFonts w:cs="Calibri"/>
          <w:sz w:val="24"/>
          <w:szCs w:val="24"/>
        </w:rPr>
        <w:t xml:space="preserve"> il semblerait que la correspondance </w:t>
      </w:r>
      <w:r w:rsidR="00D25AEB">
        <w:rPr>
          <w:rFonts w:cs="Calibri"/>
          <w:sz w:val="24"/>
          <w:szCs w:val="24"/>
        </w:rPr>
        <w:t>ne soit</w:t>
      </w:r>
      <w:r w:rsidRPr="008E0A90">
        <w:rPr>
          <w:rFonts w:cs="Calibri"/>
          <w:sz w:val="24"/>
          <w:szCs w:val="24"/>
        </w:rPr>
        <w:t xml:space="preserve"> pas parfaite :</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486"/>
        <w:gridCol w:w="3879"/>
      </w:tblGrid>
      <w:tr w:rsidR="00624EE1" w:rsidRPr="008E0A90" w:rsidTr="00331578">
        <w:tc>
          <w:tcPr>
            <w:tcW w:w="2880" w:type="dxa"/>
            <w:shd w:val="clear" w:color="auto" w:fill="auto"/>
          </w:tcPr>
          <w:p w:rsidR="00624EE1" w:rsidRPr="008E0A90" w:rsidRDefault="00624EE1" w:rsidP="00331578">
            <w:pPr>
              <w:spacing w:after="0" w:line="240" w:lineRule="auto"/>
              <w:jc w:val="center"/>
            </w:pPr>
            <w:r w:rsidRPr="008E0A90">
              <w:t>Indicateur Agenda 2063</w:t>
            </w:r>
          </w:p>
        </w:tc>
        <w:tc>
          <w:tcPr>
            <w:tcW w:w="2520" w:type="dxa"/>
            <w:shd w:val="clear" w:color="auto" w:fill="auto"/>
          </w:tcPr>
          <w:p w:rsidR="00624EE1" w:rsidRPr="008E0A90" w:rsidRDefault="00624EE1" w:rsidP="00331578">
            <w:pPr>
              <w:spacing w:after="0" w:line="240" w:lineRule="auto"/>
              <w:jc w:val="center"/>
            </w:pPr>
            <w:r w:rsidRPr="008E0A90">
              <w:t>Indicateur ODD</w:t>
            </w:r>
          </w:p>
        </w:tc>
        <w:tc>
          <w:tcPr>
            <w:tcW w:w="3944" w:type="dxa"/>
            <w:shd w:val="clear" w:color="auto" w:fill="auto"/>
          </w:tcPr>
          <w:p w:rsidR="00624EE1" w:rsidRPr="008E0A90" w:rsidRDefault="00624EE1" w:rsidP="00331578">
            <w:pPr>
              <w:spacing w:after="0" w:line="240" w:lineRule="auto"/>
              <w:jc w:val="center"/>
            </w:pPr>
            <w:r w:rsidRPr="008E0A90">
              <w:t>Remarques</w:t>
            </w:r>
          </w:p>
        </w:tc>
      </w:tr>
      <w:tr w:rsidR="00624EE1" w:rsidRPr="008E0A90" w:rsidTr="00331578">
        <w:tc>
          <w:tcPr>
            <w:tcW w:w="2880" w:type="dxa"/>
            <w:shd w:val="clear" w:color="auto" w:fill="auto"/>
          </w:tcPr>
          <w:p w:rsidR="00624EE1" w:rsidRPr="008E0A90" w:rsidRDefault="00624EE1" w:rsidP="00331578">
            <w:pPr>
              <w:spacing w:after="0" w:line="240" w:lineRule="auto"/>
              <w:rPr>
                <w:sz w:val="20"/>
                <w:szCs w:val="20"/>
              </w:rPr>
            </w:pPr>
            <w:r w:rsidRPr="008E0A90">
              <w:rPr>
                <w:sz w:val="20"/>
                <w:szCs w:val="20"/>
              </w:rPr>
              <w:t>Le Revenu National Brut (RNB) par habitat</w:t>
            </w:r>
          </w:p>
        </w:tc>
        <w:tc>
          <w:tcPr>
            <w:tcW w:w="2520" w:type="dxa"/>
            <w:shd w:val="clear" w:color="auto" w:fill="auto"/>
          </w:tcPr>
          <w:p w:rsidR="00624EE1" w:rsidRPr="008E0A90" w:rsidRDefault="00624EE1" w:rsidP="00331578">
            <w:pPr>
              <w:spacing w:after="0" w:line="240" w:lineRule="auto"/>
              <w:rPr>
                <w:sz w:val="20"/>
                <w:szCs w:val="20"/>
              </w:rPr>
            </w:pPr>
            <w:r w:rsidRPr="008E0A90">
              <w:rPr>
                <w:sz w:val="20"/>
                <w:szCs w:val="20"/>
              </w:rPr>
              <w:t>8.1.1.1- taux de croissance annuel du Produit Intérieur Brut (PIB) réel par Habitat.</w:t>
            </w:r>
          </w:p>
          <w:p w:rsidR="00624EE1" w:rsidRPr="008E0A90" w:rsidRDefault="00624EE1" w:rsidP="00331578">
            <w:pPr>
              <w:spacing w:after="0" w:line="240" w:lineRule="auto"/>
              <w:rPr>
                <w:sz w:val="20"/>
                <w:szCs w:val="20"/>
              </w:rPr>
            </w:pPr>
          </w:p>
        </w:tc>
        <w:tc>
          <w:tcPr>
            <w:tcW w:w="3944" w:type="dxa"/>
            <w:shd w:val="clear" w:color="auto" w:fill="auto"/>
          </w:tcPr>
          <w:p w:rsidR="00624EE1" w:rsidRPr="008E0A90" w:rsidRDefault="00624EE1" w:rsidP="00331578">
            <w:pPr>
              <w:spacing w:after="0" w:line="240" w:lineRule="auto"/>
              <w:jc w:val="both"/>
              <w:rPr>
                <w:sz w:val="20"/>
                <w:szCs w:val="20"/>
              </w:rPr>
            </w:pPr>
            <w:r w:rsidRPr="008E0A90">
              <w:rPr>
                <w:sz w:val="20"/>
                <w:szCs w:val="20"/>
              </w:rPr>
              <w:t>L’indicateur de l’agenda 2063 est exprimé est monnaie courante (US $) alors que l’indicateur ODD exprime une variation en termes réels et en pourcentage. Les deux indicateurs peuvent varier dans des sens différents.</w:t>
            </w:r>
          </w:p>
        </w:tc>
      </w:tr>
      <w:tr w:rsidR="00624EE1" w:rsidRPr="008E0A90" w:rsidTr="00331578">
        <w:tc>
          <w:tcPr>
            <w:tcW w:w="2880" w:type="dxa"/>
            <w:shd w:val="clear" w:color="auto" w:fill="auto"/>
          </w:tcPr>
          <w:p w:rsidR="00624EE1" w:rsidRPr="008E0A90" w:rsidRDefault="00624EE1" w:rsidP="00331578">
            <w:pPr>
              <w:spacing w:after="0" w:line="240" w:lineRule="auto"/>
              <w:rPr>
                <w:sz w:val="20"/>
                <w:szCs w:val="20"/>
              </w:rPr>
            </w:pPr>
            <w:r w:rsidRPr="008E0A90">
              <w:rPr>
                <w:sz w:val="20"/>
                <w:szCs w:val="20"/>
              </w:rPr>
              <w:t>Prévalence de l’insuffisance pondérale chez les enfants de moins de cinq (05) ans.</w:t>
            </w:r>
          </w:p>
        </w:tc>
        <w:tc>
          <w:tcPr>
            <w:tcW w:w="2520" w:type="dxa"/>
            <w:shd w:val="clear" w:color="auto" w:fill="auto"/>
          </w:tcPr>
          <w:p w:rsidR="00624EE1" w:rsidRPr="008E0A90" w:rsidRDefault="00624EE1" w:rsidP="00331578">
            <w:pPr>
              <w:spacing w:after="0" w:line="240" w:lineRule="auto"/>
              <w:rPr>
                <w:sz w:val="20"/>
                <w:szCs w:val="20"/>
              </w:rPr>
            </w:pPr>
            <w:r w:rsidRPr="008E0A90">
              <w:rPr>
                <w:sz w:val="20"/>
                <w:szCs w:val="20"/>
              </w:rPr>
              <w:t>10.2.1- Proportion des personnes vivant en dessous de 50% du revenu médian</w:t>
            </w:r>
          </w:p>
        </w:tc>
        <w:tc>
          <w:tcPr>
            <w:tcW w:w="3944" w:type="dxa"/>
            <w:shd w:val="clear" w:color="auto" w:fill="auto"/>
          </w:tcPr>
          <w:p w:rsidR="00624EE1" w:rsidRPr="008E0A90" w:rsidRDefault="00624EE1" w:rsidP="00331578">
            <w:pPr>
              <w:spacing w:after="0" w:line="240" w:lineRule="auto"/>
              <w:rPr>
                <w:sz w:val="20"/>
                <w:szCs w:val="20"/>
              </w:rPr>
            </w:pPr>
            <w:r w:rsidRPr="008E0A90">
              <w:rPr>
                <w:sz w:val="20"/>
                <w:szCs w:val="20"/>
              </w:rPr>
              <w:t>Les deux indicateurs de sont pas identiques, et la population qu’ils représentent n’est pas la même (pour le premier enfant de – de 5 ans et pour le second ensemble des individus).</w:t>
            </w:r>
          </w:p>
        </w:tc>
      </w:tr>
      <w:tr w:rsidR="00624EE1" w:rsidRPr="008E0A90" w:rsidTr="00331578">
        <w:tc>
          <w:tcPr>
            <w:tcW w:w="2880" w:type="dxa"/>
            <w:shd w:val="clear" w:color="auto" w:fill="auto"/>
          </w:tcPr>
          <w:p w:rsidR="00624EE1" w:rsidRPr="008E0A90" w:rsidRDefault="00624EE1" w:rsidP="00331578">
            <w:pPr>
              <w:spacing w:after="0" w:line="240" w:lineRule="auto"/>
              <w:rPr>
                <w:sz w:val="20"/>
                <w:szCs w:val="20"/>
              </w:rPr>
            </w:pPr>
            <w:r w:rsidRPr="008E0A90">
              <w:rPr>
                <w:sz w:val="20"/>
                <w:szCs w:val="20"/>
              </w:rPr>
              <w:t>Productivité totale des facteurs agricoles</w:t>
            </w:r>
          </w:p>
        </w:tc>
        <w:tc>
          <w:tcPr>
            <w:tcW w:w="2520" w:type="dxa"/>
            <w:shd w:val="clear" w:color="auto" w:fill="auto"/>
          </w:tcPr>
          <w:p w:rsidR="00624EE1" w:rsidRPr="008E0A90" w:rsidRDefault="00624EE1" w:rsidP="00331578">
            <w:pPr>
              <w:spacing w:after="0" w:line="240" w:lineRule="auto"/>
              <w:rPr>
                <w:sz w:val="20"/>
                <w:szCs w:val="20"/>
              </w:rPr>
            </w:pPr>
            <w:r w:rsidRPr="008E0A90">
              <w:rPr>
                <w:sz w:val="20"/>
                <w:szCs w:val="20"/>
              </w:rPr>
              <w:t>2.3.1- Volume de la production par unité de main d’œuvre selon la taille des entreprises agricole</w:t>
            </w:r>
          </w:p>
        </w:tc>
        <w:tc>
          <w:tcPr>
            <w:tcW w:w="3944" w:type="dxa"/>
            <w:shd w:val="clear" w:color="auto" w:fill="auto"/>
          </w:tcPr>
          <w:p w:rsidR="00624EE1" w:rsidRPr="008E0A90" w:rsidRDefault="00624EE1" w:rsidP="00331578">
            <w:pPr>
              <w:spacing w:after="0" w:line="240" w:lineRule="auto"/>
              <w:rPr>
                <w:sz w:val="20"/>
                <w:szCs w:val="20"/>
              </w:rPr>
            </w:pPr>
            <w:r w:rsidRPr="008E0A90">
              <w:rPr>
                <w:sz w:val="20"/>
                <w:szCs w:val="20"/>
              </w:rPr>
              <w:t>La productivité totale des facteurs agricoles représente le volume des extrants par rapport au volume des intrants principalement le travail et le capital. Le second indicateur est rapporté uniquement au travail. Des différences sensibles peuvent être observées selon que l’entreprise est à forte intensité capitalistique ou à forte quantité de travail.</w:t>
            </w:r>
          </w:p>
        </w:tc>
      </w:tr>
      <w:tr w:rsidR="00624EE1" w:rsidRPr="008E0A90" w:rsidTr="00331578">
        <w:tc>
          <w:tcPr>
            <w:tcW w:w="2880" w:type="dxa"/>
            <w:shd w:val="clear" w:color="auto" w:fill="auto"/>
          </w:tcPr>
          <w:p w:rsidR="00624EE1" w:rsidRPr="008E0A90" w:rsidRDefault="00624EE1" w:rsidP="00331578">
            <w:pPr>
              <w:spacing w:after="0" w:line="240" w:lineRule="auto"/>
              <w:rPr>
                <w:sz w:val="20"/>
                <w:szCs w:val="20"/>
              </w:rPr>
            </w:pPr>
            <w:r w:rsidRPr="008E0A90">
              <w:rPr>
                <w:sz w:val="20"/>
                <w:szCs w:val="20"/>
              </w:rPr>
              <w:t>Nombre de mégawatts ajouté au réseau national</w:t>
            </w:r>
          </w:p>
        </w:tc>
        <w:tc>
          <w:tcPr>
            <w:tcW w:w="2520" w:type="dxa"/>
            <w:shd w:val="clear" w:color="auto" w:fill="auto"/>
          </w:tcPr>
          <w:p w:rsidR="00624EE1" w:rsidRPr="008E0A90" w:rsidRDefault="00624EE1" w:rsidP="00331578">
            <w:pPr>
              <w:spacing w:after="0" w:line="240" w:lineRule="auto"/>
              <w:rPr>
                <w:sz w:val="20"/>
                <w:szCs w:val="20"/>
              </w:rPr>
            </w:pPr>
            <w:r w:rsidRPr="008E0A90">
              <w:rPr>
                <w:sz w:val="20"/>
                <w:szCs w:val="20"/>
              </w:rPr>
              <w:t>7.1.1- Proportion de la population ayant accès à l’électricité</w:t>
            </w:r>
          </w:p>
        </w:tc>
        <w:tc>
          <w:tcPr>
            <w:tcW w:w="3944" w:type="dxa"/>
            <w:shd w:val="clear" w:color="auto" w:fill="auto"/>
          </w:tcPr>
          <w:p w:rsidR="00624EE1" w:rsidRPr="008E0A90" w:rsidRDefault="00624EE1" w:rsidP="00331578">
            <w:pPr>
              <w:spacing w:after="0" w:line="240" w:lineRule="auto"/>
              <w:jc w:val="both"/>
              <w:rPr>
                <w:sz w:val="20"/>
                <w:szCs w:val="20"/>
              </w:rPr>
            </w:pPr>
            <w:r w:rsidRPr="008E0A90">
              <w:rPr>
                <w:sz w:val="20"/>
                <w:szCs w:val="20"/>
              </w:rPr>
              <w:t>Le premier indicateur représente un solde et est donné en terme absolu alors que le second est une proportion. Dans les faits, les deux indicateurs peuvent évoluer à des rythmes et même des sens différents.</w:t>
            </w:r>
          </w:p>
        </w:tc>
      </w:tr>
      <w:tr w:rsidR="00624EE1" w:rsidRPr="008E0A90" w:rsidTr="00331578">
        <w:tc>
          <w:tcPr>
            <w:tcW w:w="2880" w:type="dxa"/>
            <w:shd w:val="clear" w:color="auto" w:fill="auto"/>
          </w:tcPr>
          <w:p w:rsidR="00624EE1" w:rsidRPr="008E0A90" w:rsidRDefault="00624EE1" w:rsidP="00331578">
            <w:pPr>
              <w:spacing w:after="0" w:line="240" w:lineRule="auto"/>
              <w:rPr>
                <w:sz w:val="20"/>
                <w:szCs w:val="20"/>
              </w:rPr>
            </w:pPr>
            <w:r w:rsidRPr="008E0A90">
              <w:rPr>
                <w:sz w:val="20"/>
                <w:szCs w:val="20"/>
              </w:rPr>
              <w:t>Pourcentage des personnes qui estiment qu’il existe des mécanismes et des institutions de contrôle efficace pour obliger leurs dirigeants à rendre compte</w:t>
            </w:r>
          </w:p>
        </w:tc>
        <w:tc>
          <w:tcPr>
            <w:tcW w:w="2520" w:type="dxa"/>
            <w:shd w:val="clear" w:color="auto" w:fill="auto"/>
          </w:tcPr>
          <w:p w:rsidR="00624EE1" w:rsidRPr="008E0A90" w:rsidRDefault="00624EE1" w:rsidP="00331578">
            <w:pPr>
              <w:spacing w:after="0" w:line="240" w:lineRule="auto"/>
              <w:rPr>
                <w:sz w:val="20"/>
                <w:szCs w:val="20"/>
              </w:rPr>
            </w:pPr>
            <w:r w:rsidRPr="008E0A90">
              <w:rPr>
                <w:sz w:val="20"/>
                <w:szCs w:val="20"/>
              </w:rPr>
              <w:t>16.7.2- Proportion de la population qui estime que la prise de décision est inclusive et réceptive</w:t>
            </w:r>
          </w:p>
        </w:tc>
        <w:tc>
          <w:tcPr>
            <w:tcW w:w="3944" w:type="dxa"/>
            <w:shd w:val="clear" w:color="auto" w:fill="auto"/>
          </w:tcPr>
          <w:p w:rsidR="00624EE1" w:rsidRPr="008E0A90" w:rsidRDefault="00624EE1" w:rsidP="00331578">
            <w:pPr>
              <w:spacing w:after="0" w:line="240" w:lineRule="auto"/>
              <w:rPr>
                <w:sz w:val="20"/>
                <w:szCs w:val="20"/>
              </w:rPr>
            </w:pPr>
          </w:p>
        </w:tc>
      </w:tr>
      <w:tr w:rsidR="00624EE1" w:rsidRPr="008E0A90" w:rsidTr="00331578">
        <w:tc>
          <w:tcPr>
            <w:tcW w:w="2880" w:type="dxa"/>
            <w:shd w:val="clear" w:color="auto" w:fill="auto"/>
          </w:tcPr>
          <w:p w:rsidR="00624EE1" w:rsidRPr="008E0A90" w:rsidRDefault="00624EE1" w:rsidP="00331578">
            <w:pPr>
              <w:spacing w:after="0" w:line="240" w:lineRule="auto"/>
              <w:rPr>
                <w:sz w:val="20"/>
                <w:szCs w:val="20"/>
              </w:rPr>
            </w:pPr>
            <w:r w:rsidRPr="008E0A90">
              <w:rPr>
                <w:sz w:val="20"/>
                <w:szCs w:val="20"/>
              </w:rPr>
              <w:t>Pourcentage des personnes qui perçoivent la liberté de la presse</w:t>
            </w:r>
          </w:p>
        </w:tc>
        <w:tc>
          <w:tcPr>
            <w:tcW w:w="2520" w:type="dxa"/>
            <w:shd w:val="clear" w:color="auto" w:fill="auto"/>
          </w:tcPr>
          <w:p w:rsidR="00624EE1" w:rsidRPr="008E0A90" w:rsidRDefault="00624EE1" w:rsidP="00331578">
            <w:pPr>
              <w:spacing w:after="0" w:line="240" w:lineRule="auto"/>
              <w:rPr>
                <w:sz w:val="20"/>
                <w:szCs w:val="20"/>
              </w:rPr>
            </w:pPr>
            <w:r w:rsidRPr="008E0A90">
              <w:rPr>
                <w:sz w:val="20"/>
                <w:szCs w:val="20"/>
              </w:rPr>
              <w:t xml:space="preserve">16.10.1- Nombre de cas avérés d’assassinats, d’enlèvements, de disparitions forcées,  </w:t>
            </w:r>
          </w:p>
        </w:tc>
        <w:tc>
          <w:tcPr>
            <w:tcW w:w="3944" w:type="dxa"/>
            <w:shd w:val="clear" w:color="auto" w:fill="auto"/>
          </w:tcPr>
          <w:p w:rsidR="00624EE1" w:rsidRPr="008E0A90" w:rsidRDefault="00624EE1" w:rsidP="00331578">
            <w:pPr>
              <w:spacing w:after="0" w:line="240" w:lineRule="auto"/>
              <w:rPr>
                <w:sz w:val="20"/>
                <w:szCs w:val="20"/>
              </w:rPr>
            </w:pPr>
            <w:r w:rsidRPr="008E0A90">
              <w:rPr>
                <w:sz w:val="20"/>
                <w:szCs w:val="20"/>
              </w:rPr>
              <w:t>Il n’y a pas de corrélation entre la proportion des personnes qui perçoivent la liberté de la presse qui est exprimée en pourcentage et le nombre de cas avérés d’assassinats, d’enlèvements,…etc.</w:t>
            </w:r>
          </w:p>
        </w:tc>
      </w:tr>
    </w:tbl>
    <w:p w:rsidR="00624EE1" w:rsidRDefault="00624EE1" w:rsidP="00624EE1">
      <w:pPr>
        <w:rPr>
          <w:rFonts w:cs="Calibri"/>
          <w:b/>
          <w:bCs/>
          <w:color w:val="FF0000"/>
          <w:sz w:val="24"/>
          <w:szCs w:val="24"/>
        </w:rPr>
      </w:pPr>
    </w:p>
    <w:p w:rsidR="00624EE1" w:rsidRPr="008E0A90" w:rsidRDefault="00624EE1" w:rsidP="00D25AEB">
      <w:pPr>
        <w:jc w:val="both"/>
        <w:rPr>
          <w:rFonts w:cs="Calibri"/>
          <w:sz w:val="24"/>
          <w:szCs w:val="24"/>
        </w:rPr>
      </w:pPr>
      <w:r w:rsidRPr="008E0A90">
        <w:rPr>
          <w:rFonts w:cs="Calibri"/>
          <w:sz w:val="24"/>
          <w:szCs w:val="24"/>
        </w:rPr>
        <w:t>A l’issue de l’analyse du diagnostic de la mise en œuvre et de l’</w:t>
      </w:r>
      <w:r w:rsidR="00D25AEB">
        <w:rPr>
          <w:rFonts w:cs="Calibri"/>
          <w:sz w:val="24"/>
          <w:szCs w:val="24"/>
        </w:rPr>
        <w:t xml:space="preserve">élaboration du rapport d’étape et du </w:t>
      </w:r>
      <w:r w:rsidRPr="008E0A90">
        <w:rPr>
          <w:rFonts w:cs="Calibri"/>
          <w:sz w:val="24"/>
          <w:szCs w:val="24"/>
        </w:rPr>
        <w:t xml:space="preserve">constat </w:t>
      </w:r>
      <w:r w:rsidR="00D25AEB">
        <w:rPr>
          <w:rFonts w:cs="Calibri"/>
          <w:sz w:val="24"/>
          <w:szCs w:val="24"/>
        </w:rPr>
        <w:t xml:space="preserve">établi </w:t>
      </w:r>
      <w:r w:rsidRPr="008E0A90">
        <w:rPr>
          <w:rFonts w:cs="Calibri"/>
          <w:sz w:val="24"/>
          <w:szCs w:val="24"/>
        </w:rPr>
        <w:t>du processus de mise en œuvre de l’agenda 2063</w:t>
      </w:r>
      <w:r w:rsidR="00D25AEB">
        <w:rPr>
          <w:rFonts w:cs="Calibri"/>
          <w:sz w:val="24"/>
          <w:szCs w:val="24"/>
        </w:rPr>
        <w:t xml:space="preserve">, </w:t>
      </w:r>
      <w:r w:rsidRPr="008E0A90">
        <w:rPr>
          <w:rFonts w:cs="Calibri"/>
          <w:sz w:val="24"/>
          <w:szCs w:val="24"/>
        </w:rPr>
        <w:t xml:space="preserve"> </w:t>
      </w:r>
      <w:r w:rsidR="00D25AEB">
        <w:rPr>
          <w:rFonts w:cs="Calibri"/>
          <w:sz w:val="24"/>
          <w:szCs w:val="24"/>
        </w:rPr>
        <w:t xml:space="preserve">des </w:t>
      </w:r>
      <w:r w:rsidRPr="008E0A90">
        <w:rPr>
          <w:rFonts w:cs="Calibri"/>
          <w:sz w:val="24"/>
          <w:szCs w:val="24"/>
        </w:rPr>
        <w:t xml:space="preserve">recommandations </w:t>
      </w:r>
      <w:r w:rsidR="00D25AEB">
        <w:rPr>
          <w:rFonts w:cs="Calibri"/>
          <w:sz w:val="24"/>
          <w:szCs w:val="24"/>
        </w:rPr>
        <w:t>pourraient être formulées au sujet  d</w:t>
      </w:r>
      <w:r w:rsidRPr="008E0A90">
        <w:rPr>
          <w:rFonts w:cs="Calibri"/>
          <w:sz w:val="24"/>
          <w:szCs w:val="24"/>
        </w:rPr>
        <w:t>es aspects suivants :</w:t>
      </w:r>
    </w:p>
    <w:p w:rsidR="00624EE1" w:rsidRPr="008E0A90" w:rsidRDefault="00624EE1" w:rsidP="00D25AEB">
      <w:pPr>
        <w:jc w:val="both"/>
        <w:rPr>
          <w:rFonts w:cs="Calibri"/>
          <w:sz w:val="24"/>
          <w:szCs w:val="24"/>
        </w:rPr>
      </w:pPr>
      <w:r w:rsidRPr="008E0A90">
        <w:rPr>
          <w:rFonts w:cs="Calibri"/>
          <w:sz w:val="24"/>
          <w:szCs w:val="24"/>
        </w:rPr>
        <w:t xml:space="preserve">-Harmonisation séquentielle des objectifs de l’Agenda 2063 avec </w:t>
      </w:r>
      <w:r w:rsidR="00D25AEB">
        <w:rPr>
          <w:rFonts w:cs="Calibri"/>
          <w:sz w:val="24"/>
          <w:szCs w:val="24"/>
        </w:rPr>
        <w:t>ceux</w:t>
      </w:r>
      <w:r w:rsidRPr="008E0A90">
        <w:rPr>
          <w:rFonts w:cs="Calibri"/>
          <w:sz w:val="24"/>
          <w:szCs w:val="24"/>
        </w:rPr>
        <w:t xml:space="preserve"> des politiques publiques nati</w:t>
      </w:r>
      <w:r w:rsidR="00D25AEB">
        <w:rPr>
          <w:rFonts w:cs="Calibri"/>
          <w:sz w:val="24"/>
          <w:szCs w:val="24"/>
        </w:rPr>
        <w:t>onales et régionales appropriés ;</w:t>
      </w:r>
    </w:p>
    <w:p w:rsidR="00624EE1" w:rsidRPr="008E0A90" w:rsidRDefault="00624EE1" w:rsidP="00D25AEB">
      <w:pPr>
        <w:jc w:val="both"/>
        <w:rPr>
          <w:rFonts w:cs="Calibri"/>
          <w:sz w:val="24"/>
          <w:szCs w:val="24"/>
        </w:rPr>
      </w:pPr>
      <w:r w:rsidRPr="008E0A90">
        <w:rPr>
          <w:rFonts w:cs="Calibri"/>
          <w:sz w:val="24"/>
          <w:szCs w:val="24"/>
        </w:rPr>
        <w:t>-Intégrer les indicateurs à renseigner dans un canevas national totalement orient</w:t>
      </w:r>
      <w:r w:rsidR="00D25AEB">
        <w:rPr>
          <w:rFonts w:cs="Calibri"/>
          <w:sz w:val="24"/>
          <w:szCs w:val="24"/>
        </w:rPr>
        <w:t>é</w:t>
      </w:r>
      <w:r w:rsidRPr="008E0A90">
        <w:rPr>
          <w:rFonts w:cs="Calibri"/>
          <w:sz w:val="24"/>
          <w:szCs w:val="24"/>
        </w:rPr>
        <w:t xml:space="preserve"> vers une standardisation des procédures et nomenclatures tel</w:t>
      </w:r>
      <w:r w:rsidR="00D25AEB">
        <w:rPr>
          <w:rFonts w:cs="Calibri"/>
          <w:sz w:val="24"/>
          <w:szCs w:val="24"/>
        </w:rPr>
        <w:t>les</w:t>
      </w:r>
      <w:r w:rsidRPr="008E0A90">
        <w:rPr>
          <w:rFonts w:cs="Calibri"/>
          <w:sz w:val="24"/>
          <w:szCs w:val="24"/>
        </w:rPr>
        <w:t xml:space="preserve"> que conçu</w:t>
      </w:r>
      <w:r w:rsidR="00D25AEB">
        <w:rPr>
          <w:rFonts w:cs="Calibri"/>
          <w:sz w:val="24"/>
          <w:szCs w:val="24"/>
        </w:rPr>
        <w:t>es</w:t>
      </w:r>
      <w:r w:rsidRPr="008E0A90">
        <w:rPr>
          <w:rFonts w:cs="Calibri"/>
          <w:sz w:val="24"/>
          <w:szCs w:val="24"/>
        </w:rPr>
        <w:t xml:space="preserve"> dans l’Agenda 2063</w:t>
      </w:r>
      <w:r w:rsidR="00D25AEB">
        <w:rPr>
          <w:rFonts w:cs="Calibri"/>
          <w:sz w:val="24"/>
          <w:szCs w:val="24"/>
        </w:rPr>
        <w:t> ;</w:t>
      </w:r>
    </w:p>
    <w:p w:rsidR="00624EE1" w:rsidRDefault="00624EE1" w:rsidP="00D25AEB">
      <w:pPr>
        <w:jc w:val="both"/>
        <w:rPr>
          <w:rFonts w:cs="Calibri"/>
          <w:sz w:val="24"/>
          <w:szCs w:val="24"/>
        </w:rPr>
      </w:pPr>
      <w:r w:rsidRPr="00CA4063">
        <w:rPr>
          <w:rFonts w:cs="Calibri"/>
          <w:color w:val="FF0000"/>
          <w:sz w:val="24"/>
          <w:szCs w:val="24"/>
        </w:rPr>
        <w:t>-</w:t>
      </w:r>
      <w:r w:rsidRPr="009513E3">
        <w:rPr>
          <w:rFonts w:cs="Calibri"/>
          <w:sz w:val="24"/>
          <w:szCs w:val="24"/>
        </w:rPr>
        <w:t xml:space="preserve">Mettre en place une cellule afin de permettre le suivi et l’évaluation </w:t>
      </w:r>
      <w:r w:rsidR="00D25AEB">
        <w:rPr>
          <w:rFonts w:cs="Calibri"/>
          <w:sz w:val="24"/>
          <w:szCs w:val="24"/>
        </w:rPr>
        <w:t>sur l’état de mise en œuvre</w:t>
      </w:r>
      <w:r>
        <w:rPr>
          <w:rFonts w:cs="Calibri"/>
          <w:sz w:val="24"/>
          <w:szCs w:val="24"/>
        </w:rPr>
        <w:t>.</w:t>
      </w:r>
    </w:p>
    <w:p w:rsidR="00624EE1" w:rsidRPr="008E0A90" w:rsidRDefault="00624EE1" w:rsidP="001A3F43">
      <w:pPr>
        <w:jc w:val="both"/>
        <w:rPr>
          <w:rFonts w:cs="Calibri"/>
          <w:sz w:val="24"/>
          <w:szCs w:val="24"/>
        </w:rPr>
      </w:pPr>
      <w:r w:rsidRPr="008E0A90">
        <w:rPr>
          <w:rFonts w:cs="Calibri"/>
          <w:sz w:val="24"/>
          <w:szCs w:val="24"/>
        </w:rPr>
        <w:lastRenderedPageBreak/>
        <w:t>-Réfléchir à intégrer dans les nomenclatures nationales (Budget, Trésor, comptabilité nationale et institutions financières) des rubriques spécifiques facilement identifiable</w:t>
      </w:r>
      <w:r w:rsidR="00D25AEB">
        <w:rPr>
          <w:rFonts w:cs="Calibri"/>
          <w:sz w:val="24"/>
          <w:szCs w:val="24"/>
        </w:rPr>
        <w:t>s</w:t>
      </w:r>
      <w:r w:rsidRPr="008E0A90">
        <w:rPr>
          <w:rFonts w:cs="Calibri"/>
          <w:sz w:val="24"/>
          <w:szCs w:val="24"/>
        </w:rPr>
        <w:t xml:space="preserve"> </w:t>
      </w:r>
      <w:r w:rsidR="00D25AEB" w:rsidRPr="008E0A90">
        <w:rPr>
          <w:rFonts w:cs="Calibri"/>
          <w:sz w:val="24"/>
          <w:szCs w:val="24"/>
        </w:rPr>
        <w:t>a</w:t>
      </w:r>
      <w:r w:rsidR="00D25AEB">
        <w:rPr>
          <w:rFonts w:cs="Calibri"/>
          <w:sz w:val="24"/>
          <w:szCs w:val="24"/>
        </w:rPr>
        <w:t xml:space="preserve">fin de </w:t>
      </w:r>
      <w:r w:rsidRPr="008E0A90">
        <w:rPr>
          <w:rFonts w:cs="Calibri"/>
          <w:sz w:val="24"/>
          <w:szCs w:val="24"/>
        </w:rPr>
        <w:t>répond</w:t>
      </w:r>
      <w:r w:rsidR="00D25AEB">
        <w:rPr>
          <w:rFonts w:cs="Calibri"/>
          <w:sz w:val="24"/>
          <w:szCs w:val="24"/>
        </w:rPr>
        <w:t>re</w:t>
      </w:r>
      <w:r w:rsidRPr="008E0A90">
        <w:rPr>
          <w:rFonts w:cs="Calibri"/>
          <w:sz w:val="24"/>
          <w:szCs w:val="24"/>
        </w:rPr>
        <w:t xml:space="preserve"> à la préoccupation nationale</w:t>
      </w:r>
      <w:r w:rsidR="00D25AEB">
        <w:rPr>
          <w:rFonts w:cs="Calibri"/>
          <w:sz w:val="24"/>
          <w:szCs w:val="24"/>
        </w:rPr>
        <w:t xml:space="preserve"> et prendre</w:t>
      </w:r>
      <w:r w:rsidRPr="008E0A90">
        <w:rPr>
          <w:rFonts w:cs="Calibri"/>
          <w:sz w:val="24"/>
          <w:szCs w:val="24"/>
        </w:rPr>
        <w:t xml:space="preserve"> en charge la perti</w:t>
      </w:r>
      <w:r w:rsidR="00D25AEB">
        <w:rPr>
          <w:rFonts w:cs="Calibri"/>
          <w:sz w:val="24"/>
          <w:szCs w:val="24"/>
        </w:rPr>
        <w:t xml:space="preserve">nence des indicateurs </w:t>
      </w:r>
      <w:r w:rsidR="001A3F43" w:rsidRPr="001A3F43">
        <w:rPr>
          <w:rFonts w:cs="Calibri"/>
          <w:sz w:val="24"/>
          <w:szCs w:val="24"/>
        </w:rPr>
        <w:t>de</w:t>
      </w:r>
      <w:r w:rsidRPr="008E0A90">
        <w:rPr>
          <w:rFonts w:cs="Calibri"/>
          <w:sz w:val="24"/>
          <w:szCs w:val="24"/>
        </w:rPr>
        <w:t xml:space="preserve"> l’Agenda 2063.</w:t>
      </w:r>
    </w:p>
    <w:p w:rsidR="00624EE1" w:rsidRPr="008E0A90" w:rsidRDefault="00624EE1" w:rsidP="00624EE1">
      <w:pPr>
        <w:jc w:val="both"/>
        <w:rPr>
          <w:rFonts w:cs="Calibri"/>
          <w:sz w:val="24"/>
          <w:szCs w:val="24"/>
        </w:rPr>
      </w:pPr>
      <w:r w:rsidRPr="008E0A90">
        <w:rPr>
          <w:rFonts w:cs="Calibri"/>
          <w:sz w:val="24"/>
          <w:szCs w:val="24"/>
        </w:rPr>
        <w:t>-Rendre possible l’appropriation de l’Agenda 2063 par la majorité des opérateurs économiques et principaux acteurs de la société civile, au moyen d’une politique de communication inclusive ayant pour</w:t>
      </w:r>
      <w:r w:rsidR="00D25AEB">
        <w:rPr>
          <w:rFonts w:cs="Calibri"/>
          <w:sz w:val="24"/>
          <w:szCs w:val="24"/>
        </w:rPr>
        <w:t xml:space="preserve"> principal</w:t>
      </w:r>
      <w:r w:rsidRPr="008E0A90">
        <w:rPr>
          <w:rFonts w:cs="Calibri"/>
          <w:sz w:val="24"/>
          <w:szCs w:val="24"/>
        </w:rPr>
        <w:t xml:space="preserve"> objectif la vulgarisation des procédures de mise en œuvre de l’Agenda 2063 avec des priorités régionales et locales.</w:t>
      </w:r>
    </w:p>
    <w:p w:rsidR="00624EE1" w:rsidRDefault="00624EE1" w:rsidP="00D25AEB">
      <w:pPr>
        <w:jc w:val="both"/>
        <w:rPr>
          <w:rFonts w:cs="Calibri"/>
          <w:sz w:val="24"/>
          <w:szCs w:val="24"/>
        </w:rPr>
      </w:pPr>
      <w:r w:rsidRPr="008E0A90">
        <w:rPr>
          <w:rFonts w:cs="Calibri"/>
          <w:sz w:val="24"/>
          <w:szCs w:val="24"/>
        </w:rPr>
        <w:t>-</w:t>
      </w:r>
      <w:r w:rsidR="00D25AEB">
        <w:rPr>
          <w:rFonts w:cs="Calibri"/>
          <w:sz w:val="24"/>
          <w:szCs w:val="24"/>
        </w:rPr>
        <w:t xml:space="preserve">prendre </w:t>
      </w:r>
      <w:r w:rsidRPr="008E0A90">
        <w:rPr>
          <w:rFonts w:cs="Calibri"/>
          <w:sz w:val="24"/>
          <w:szCs w:val="24"/>
        </w:rPr>
        <w:t xml:space="preserve"> en charge </w:t>
      </w:r>
      <w:r w:rsidR="00D25AEB">
        <w:rPr>
          <w:rFonts w:cs="Calibri"/>
          <w:sz w:val="24"/>
          <w:szCs w:val="24"/>
        </w:rPr>
        <w:t>le</w:t>
      </w:r>
      <w:r w:rsidRPr="008E0A90">
        <w:rPr>
          <w:rFonts w:cs="Calibri"/>
          <w:sz w:val="24"/>
          <w:szCs w:val="24"/>
        </w:rPr>
        <w:t xml:space="preserve"> volet financier de la réalisation et</w:t>
      </w:r>
      <w:r w:rsidR="00D25AEB">
        <w:rPr>
          <w:rFonts w:cs="Calibri"/>
          <w:sz w:val="24"/>
          <w:szCs w:val="24"/>
        </w:rPr>
        <w:t xml:space="preserve"> de</w:t>
      </w:r>
      <w:r w:rsidRPr="008E0A90">
        <w:rPr>
          <w:rFonts w:cs="Calibri"/>
          <w:sz w:val="24"/>
          <w:szCs w:val="24"/>
        </w:rPr>
        <w:t xml:space="preserve"> la mise en œuvre de l’Agenda 2063 par une dotation budgétaire nationale et sectorielle en concordance avec le budget de développent national</w:t>
      </w:r>
      <w:r>
        <w:rPr>
          <w:rFonts w:cs="Calibri"/>
          <w:sz w:val="24"/>
          <w:szCs w:val="24"/>
        </w:rPr>
        <w:t>.</w:t>
      </w:r>
    </w:p>
    <w:p w:rsidR="00624EE1" w:rsidRDefault="00624EE1" w:rsidP="00624EE1">
      <w:pPr>
        <w:jc w:val="both"/>
        <w:rPr>
          <w:rFonts w:cs="Calibri"/>
          <w:sz w:val="24"/>
          <w:szCs w:val="24"/>
        </w:rPr>
      </w:pPr>
      <w:r w:rsidRPr="00C01531">
        <w:rPr>
          <w:rFonts w:cs="Calibri"/>
          <w:sz w:val="24"/>
          <w:szCs w:val="24"/>
        </w:rPr>
        <w:t>- L’organisation de séminaires, d’Ateliers et de conférences sur l’Agenda 2063 en présence des experts dans le domaine.</w:t>
      </w:r>
    </w:p>
    <w:p w:rsidR="00624EE1" w:rsidRDefault="00624EE1" w:rsidP="00624EE1">
      <w:pPr>
        <w:jc w:val="both"/>
        <w:rPr>
          <w:rFonts w:cs="Calibri"/>
          <w:sz w:val="24"/>
          <w:szCs w:val="24"/>
        </w:rPr>
      </w:pPr>
      <w:r>
        <w:rPr>
          <w:rFonts w:cs="Calibri"/>
          <w:sz w:val="24"/>
          <w:szCs w:val="24"/>
        </w:rPr>
        <w:t>- Inviter les universités et les Etablissements de l’Enseignement supérieur d’introduire</w:t>
      </w:r>
      <w:r w:rsidRPr="009513E3">
        <w:rPr>
          <w:rFonts w:cs="Calibri"/>
          <w:sz w:val="24"/>
          <w:szCs w:val="24"/>
        </w:rPr>
        <w:t xml:space="preserve"> </w:t>
      </w:r>
      <w:r>
        <w:rPr>
          <w:rFonts w:cs="Calibri"/>
          <w:sz w:val="24"/>
          <w:szCs w:val="24"/>
        </w:rPr>
        <w:t xml:space="preserve">l’Agenda 2063 dans les programmes de formation.  </w:t>
      </w:r>
    </w:p>
    <w:p w:rsidR="007E638F" w:rsidRPr="007E638F" w:rsidRDefault="007E638F" w:rsidP="00624EE1">
      <w:pPr>
        <w:jc w:val="both"/>
        <w:rPr>
          <w:rFonts w:cs="Calibri"/>
          <w:sz w:val="10"/>
          <w:szCs w:val="10"/>
        </w:rPr>
      </w:pPr>
    </w:p>
    <w:p w:rsidR="00E370EC" w:rsidRPr="009513E3" w:rsidRDefault="00CC2B09" w:rsidP="00624EE1">
      <w:pPr>
        <w:rPr>
          <w:rFonts w:cs="Calibri"/>
          <w:b/>
          <w:bCs/>
          <w:sz w:val="24"/>
          <w:szCs w:val="24"/>
          <w:u w:val="single"/>
        </w:rPr>
      </w:pPr>
      <w:r>
        <w:rPr>
          <w:rFonts w:cs="Calibri"/>
          <w:b/>
          <w:bCs/>
          <w:sz w:val="24"/>
          <w:szCs w:val="24"/>
          <w:u w:val="single"/>
        </w:rPr>
        <w:t xml:space="preserve">V- </w:t>
      </w:r>
      <w:r w:rsidR="00D03F03" w:rsidRPr="009513E3">
        <w:rPr>
          <w:rFonts w:cs="Calibri"/>
          <w:b/>
          <w:bCs/>
          <w:sz w:val="24"/>
          <w:szCs w:val="24"/>
          <w:u w:val="single"/>
        </w:rPr>
        <w:t>PRINCIPALE</w:t>
      </w:r>
      <w:r w:rsidR="00624EE1">
        <w:rPr>
          <w:rFonts w:cs="Calibri"/>
          <w:b/>
          <w:bCs/>
          <w:sz w:val="24"/>
          <w:szCs w:val="24"/>
          <w:u w:val="single"/>
        </w:rPr>
        <w:t xml:space="preserve">S </w:t>
      </w:r>
      <w:r w:rsidR="00D03F03" w:rsidRPr="009513E3">
        <w:rPr>
          <w:rFonts w:cs="Calibri"/>
          <w:b/>
          <w:bCs/>
          <w:sz w:val="24"/>
          <w:szCs w:val="24"/>
          <w:u w:val="single"/>
        </w:rPr>
        <w:t>LECONS APPRISES</w:t>
      </w:r>
      <w:r w:rsidR="00E370EC" w:rsidRPr="009513E3">
        <w:rPr>
          <w:rFonts w:cs="Calibri"/>
          <w:b/>
          <w:bCs/>
          <w:sz w:val="24"/>
          <w:szCs w:val="24"/>
          <w:u w:val="single"/>
        </w:rPr>
        <w:t xml:space="preserve"> </w:t>
      </w:r>
    </w:p>
    <w:p w:rsidR="00BD58BD" w:rsidRPr="0070565D" w:rsidRDefault="00BD58BD" w:rsidP="00E06F32">
      <w:pPr>
        <w:jc w:val="both"/>
        <w:rPr>
          <w:sz w:val="24"/>
          <w:szCs w:val="24"/>
        </w:rPr>
      </w:pPr>
      <w:r w:rsidRPr="0070565D">
        <w:rPr>
          <w:sz w:val="24"/>
          <w:szCs w:val="24"/>
        </w:rPr>
        <w:t xml:space="preserve">L’élaboration du rapport d’étape sur la mise en œuvre du premier plan décennal 2013-2018 afférent à l’agenda 2063 </w:t>
      </w:r>
      <w:r w:rsidRPr="00D34CCF">
        <w:rPr>
          <w:sz w:val="24"/>
          <w:szCs w:val="24"/>
        </w:rPr>
        <w:t>est un exercice</w:t>
      </w:r>
      <w:r w:rsidRPr="00822B2F">
        <w:rPr>
          <w:color w:val="FF0000"/>
          <w:sz w:val="24"/>
          <w:szCs w:val="24"/>
        </w:rPr>
        <w:t xml:space="preserve"> </w:t>
      </w:r>
      <w:r w:rsidR="00E06F32">
        <w:rPr>
          <w:sz w:val="24"/>
          <w:szCs w:val="24"/>
        </w:rPr>
        <w:t xml:space="preserve">qui </w:t>
      </w:r>
      <w:r w:rsidRPr="0070565D">
        <w:rPr>
          <w:sz w:val="24"/>
          <w:szCs w:val="24"/>
        </w:rPr>
        <w:t>favorise la concertation et l’appropriation. Il consolide</w:t>
      </w:r>
      <w:r w:rsidR="00E06F32">
        <w:rPr>
          <w:sz w:val="24"/>
          <w:szCs w:val="24"/>
        </w:rPr>
        <w:t>,</w:t>
      </w:r>
      <w:r w:rsidR="00823104" w:rsidRPr="00823104">
        <w:rPr>
          <w:sz w:val="24"/>
          <w:szCs w:val="24"/>
        </w:rPr>
        <w:t xml:space="preserve"> </w:t>
      </w:r>
      <w:r w:rsidR="00823104" w:rsidRPr="0070565D">
        <w:rPr>
          <w:sz w:val="24"/>
          <w:szCs w:val="24"/>
        </w:rPr>
        <w:t>également</w:t>
      </w:r>
      <w:r w:rsidR="00E06F32">
        <w:rPr>
          <w:sz w:val="24"/>
          <w:szCs w:val="24"/>
        </w:rPr>
        <w:t>,</w:t>
      </w:r>
      <w:r w:rsidRPr="0070565D">
        <w:rPr>
          <w:sz w:val="24"/>
          <w:szCs w:val="24"/>
        </w:rPr>
        <w:t xml:space="preserve"> la coordination interinstitutionnelle</w:t>
      </w:r>
      <w:r>
        <w:rPr>
          <w:sz w:val="24"/>
          <w:szCs w:val="24"/>
        </w:rPr>
        <w:t xml:space="preserve"> entre les différentes parties prenantes</w:t>
      </w:r>
      <w:r w:rsidRPr="0070565D">
        <w:rPr>
          <w:sz w:val="24"/>
          <w:szCs w:val="24"/>
        </w:rPr>
        <w:t>.</w:t>
      </w:r>
    </w:p>
    <w:p w:rsidR="00BD58BD" w:rsidRPr="0070565D" w:rsidRDefault="00BD58BD" w:rsidP="009513E3">
      <w:pPr>
        <w:jc w:val="both"/>
        <w:rPr>
          <w:sz w:val="24"/>
          <w:szCs w:val="24"/>
        </w:rPr>
      </w:pPr>
      <w:r w:rsidRPr="0070565D">
        <w:rPr>
          <w:sz w:val="24"/>
          <w:szCs w:val="24"/>
        </w:rPr>
        <w:t xml:space="preserve">A cet effet, </w:t>
      </w:r>
      <w:r w:rsidR="00823104">
        <w:rPr>
          <w:sz w:val="24"/>
          <w:szCs w:val="24"/>
        </w:rPr>
        <w:t xml:space="preserve">ont été lancés </w:t>
      </w:r>
      <w:r w:rsidRPr="0070565D">
        <w:rPr>
          <w:sz w:val="24"/>
          <w:szCs w:val="24"/>
        </w:rPr>
        <w:t>plusieurs cycles de concertation sur l’agenda 2063 et plus précisément sur les 66 indicateurs afférents à la mise en œuvre du premier plan décennal relatif à l’agenda 2063.</w:t>
      </w:r>
    </w:p>
    <w:p w:rsidR="00BD58BD" w:rsidRPr="0070565D" w:rsidRDefault="00BD58BD" w:rsidP="00D25AEB">
      <w:pPr>
        <w:jc w:val="both"/>
        <w:rPr>
          <w:sz w:val="24"/>
          <w:szCs w:val="24"/>
        </w:rPr>
      </w:pPr>
      <w:r w:rsidRPr="0070565D">
        <w:rPr>
          <w:sz w:val="24"/>
          <w:szCs w:val="24"/>
        </w:rPr>
        <w:t>Ces cycles de concertation ont r</w:t>
      </w:r>
      <w:r>
        <w:rPr>
          <w:sz w:val="24"/>
          <w:szCs w:val="24"/>
        </w:rPr>
        <w:t xml:space="preserve">egroupé plus d’une </w:t>
      </w:r>
      <w:r w:rsidR="0076216F">
        <w:rPr>
          <w:sz w:val="24"/>
          <w:szCs w:val="24"/>
        </w:rPr>
        <w:t>vingt-cinq</w:t>
      </w:r>
      <w:r>
        <w:rPr>
          <w:sz w:val="24"/>
          <w:szCs w:val="24"/>
        </w:rPr>
        <w:t xml:space="preserve"> (2</w:t>
      </w:r>
      <w:r w:rsidRPr="0070565D">
        <w:rPr>
          <w:sz w:val="24"/>
          <w:szCs w:val="24"/>
        </w:rPr>
        <w:t xml:space="preserve">5) </w:t>
      </w:r>
      <w:r w:rsidR="00560EDF">
        <w:rPr>
          <w:sz w:val="24"/>
          <w:szCs w:val="24"/>
        </w:rPr>
        <w:t>Départements ministériels et institutions</w:t>
      </w:r>
      <w:r w:rsidRPr="0070565D">
        <w:rPr>
          <w:sz w:val="24"/>
          <w:szCs w:val="24"/>
        </w:rPr>
        <w:t xml:space="preserve"> </w:t>
      </w:r>
      <w:r w:rsidR="00D25AEB">
        <w:rPr>
          <w:sz w:val="24"/>
          <w:szCs w:val="24"/>
        </w:rPr>
        <w:t xml:space="preserve"> et</w:t>
      </w:r>
      <w:r w:rsidRPr="0070565D">
        <w:rPr>
          <w:sz w:val="24"/>
          <w:szCs w:val="24"/>
        </w:rPr>
        <w:t xml:space="preserve"> permis </w:t>
      </w:r>
      <w:r>
        <w:rPr>
          <w:sz w:val="24"/>
          <w:szCs w:val="24"/>
        </w:rPr>
        <w:t xml:space="preserve">une large </w:t>
      </w:r>
      <w:r w:rsidRPr="0070565D">
        <w:rPr>
          <w:sz w:val="24"/>
          <w:szCs w:val="24"/>
        </w:rPr>
        <w:t xml:space="preserve">vulgarisation de l’Agenda 2063 et du </w:t>
      </w:r>
      <w:r w:rsidR="009513E3">
        <w:rPr>
          <w:sz w:val="24"/>
          <w:szCs w:val="24"/>
        </w:rPr>
        <w:t>1</w:t>
      </w:r>
      <w:r w:rsidR="009513E3" w:rsidRPr="009513E3">
        <w:rPr>
          <w:sz w:val="24"/>
          <w:szCs w:val="24"/>
          <w:vertAlign w:val="superscript"/>
        </w:rPr>
        <w:t>er</w:t>
      </w:r>
      <w:r w:rsidR="009513E3">
        <w:rPr>
          <w:sz w:val="24"/>
          <w:szCs w:val="24"/>
        </w:rPr>
        <w:t xml:space="preserve"> plan décennal </w:t>
      </w:r>
      <w:r w:rsidRPr="0070565D">
        <w:rPr>
          <w:sz w:val="24"/>
          <w:szCs w:val="24"/>
        </w:rPr>
        <w:t>2013-2023</w:t>
      </w:r>
      <w:r w:rsidR="00D25AEB">
        <w:rPr>
          <w:sz w:val="24"/>
          <w:szCs w:val="24"/>
        </w:rPr>
        <w:t>. Cet exercice  a contribué à consolider l’</w:t>
      </w:r>
      <w:r w:rsidRPr="0070565D">
        <w:rPr>
          <w:sz w:val="24"/>
          <w:szCs w:val="24"/>
        </w:rPr>
        <w:t>appropriation collective</w:t>
      </w:r>
      <w:r w:rsidR="00D25AEB" w:rsidRPr="00D25AEB">
        <w:rPr>
          <w:sz w:val="24"/>
          <w:szCs w:val="24"/>
        </w:rPr>
        <w:t xml:space="preserve"> </w:t>
      </w:r>
      <w:r w:rsidR="00D25AEB" w:rsidRPr="0070565D">
        <w:rPr>
          <w:sz w:val="24"/>
          <w:szCs w:val="24"/>
        </w:rPr>
        <w:t>de l’Agenda 2063</w:t>
      </w:r>
      <w:r w:rsidRPr="0070565D">
        <w:rPr>
          <w:sz w:val="24"/>
          <w:szCs w:val="24"/>
        </w:rPr>
        <w:t>.</w:t>
      </w:r>
    </w:p>
    <w:p w:rsidR="00BD58BD" w:rsidRPr="0070565D" w:rsidRDefault="00BD58BD" w:rsidP="00D25AEB">
      <w:pPr>
        <w:jc w:val="both"/>
        <w:rPr>
          <w:sz w:val="24"/>
          <w:szCs w:val="24"/>
        </w:rPr>
      </w:pPr>
      <w:r w:rsidRPr="0070565D">
        <w:rPr>
          <w:sz w:val="24"/>
          <w:szCs w:val="24"/>
        </w:rPr>
        <w:t xml:space="preserve">Ces cycles ont également </w:t>
      </w:r>
      <w:r w:rsidR="00D25AEB">
        <w:rPr>
          <w:sz w:val="24"/>
          <w:szCs w:val="24"/>
        </w:rPr>
        <w:t>offert l’opportunité d’</w:t>
      </w:r>
      <w:r w:rsidRPr="0070565D">
        <w:rPr>
          <w:sz w:val="24"/>
          <w:szCs w:val="24"/>
        </w:rPr>
        <w:t xml:space="preserve">examiner de près les 66 indicateurs de suivi du </w:t>
      </w:r>
      <w:r w:rsidR="009513E3">
        <w:rPr>
          <w:sz w:val="24"/>
          <w:szCs w:val="24"/>
        </w:rPr>
        <w:t>plan décennal</w:t>
      </w:r>
      <w:r w:rsidRPr="0070565D">
        <w:rPr>
          <w:sz w:val="24"/>
          <w:szCs w:val="24"/>
        </w:rPr>
        <w:t xml:space="preserve"> 2013-2023, puisque chaque secteur concerné par un ou plusieurs indicateurs (et donc cibles et objectifs) s’est prononcé sur la disponibilité ou non de l’indicateur, </w:t>
      </w:r>
      <w:r>
        <w:rPr>
          <w:sz w:val="24"/>
          <w:szCs w:val="24"/>
        </w:rPr>
        <w:t xml:space="preserve">le niveau de </w:t>
      </w:r>
      <w:r w:rsidRPr="0070565D">
        <w:rPr>
          <w:sz w:val="24"/>
          <w:szCs w:val="24"/>
        </w:rPr>
        <w:t xml:space="preserve">sa désagrégation, les sources potentiellement </w:t>
      </w:r>
      <w:r w:rsidR="0076216F" w:rsidRPr="0070565D">
        <w:rPr>
          <w:sz w:val="24"/>
          <w:szCs w:val="24"/>
        </w:rPr>
        <w:t>mobilisables, …</w:t>
      </w:r>
      <w:r w:rsidRPr="0070565D">
        <w:rPr>
          <w:sz w:val="24"/>
          <w:szCs w:val="24"/>
        </w:rPr>
        <w:t>etc.</w:t>
      </w:r>
    </w:p>
    <w:p w:rsidR="00BD58BD" w:rsidRPr="0070565D" w:rsidRDefault="00BD58BD" w:rsidP="00BD58BD">
      <w:pPr>
        <w:jc w:val="both"/>
        <w:rPr>
          <w:sz w:val="24"/>
          <w:szCs w:val="24"/>
        </w:rPr>
      </w:pPr>
      <w:r w:rsidRPr="0070565D">
        <w:rPr>
          <w:sz w:val="24"/>
          <w:szCs w:val="24"/>
        </w:rPr>
        <w:t>En outre, il a été constaté que le renseignement de la matrice afférente aux indicateurs et la prise en charge du rapport étaient particulièrement sensibles à la qualité du Système Statistique National.</w:t>
      </w:r>
    </w:p>
    <w:p w:rsidR="00D25AEB" w:rsidRDefault="00BD58BD" w:rsidP="00BD58BD">
      <w:pPr>
        <w:jc w:val="both"/>
        <w:rPr>
          <w:sz w:val="24"/>
          <w:szCs w:val="24"/>
        </w:rPr>
      </w:pPr>
      <w:r w:rsidRPr="0070565D">
        <w:rPr>
          <w:sz w:val="24"/>
          <w:szCs w:val="24"/>
        </w:rPr>
        <w:t xml:space="preserve">De plus, l’année 2013 qui est prise comme point de repère </w:t>
      </w:r>
      <w:r>
        <w:rPr>
          <w:sz w:val="24"/>
          <w:szCs w:val="24"/>
        </w:rPr>
        <w:t xml:space="preserve">ou référentiel </w:t>
      </w:r>
      <w:r w:rsidRPr="0070565D">
        <w:rPr>
          <w:sz w:val="24"/>
          <w:szCs w:val="24"/>
        </w:rPr>
        <w:t xml:space="preserve">n’est pas pertinente et n’est pas </w:t>
      </w:r>
      <w:r>
        <w:rPr>
          <w:sz w:val="24"/>
          <w:szCs w:val="24"/>
        </w:rPr>
        <w:t xml:space="preserve">très </w:t>
      </w:r>
      <w:r w:rsidRPr="0070565D">
        <w:rPr>
          <w:sz w:val="24"/>
          <w:szCs w:val="24"/>
        </w:rPr>
        <w:t xml:space="preserve">indiquée pour </w:t>
      </w:r>
      <w:r>
        <w:rPr>
          <w:sz w:val="24"/>
          <w:szCs w:val="24"/>
        </w:rPr>
        <w:t xml:space="preserve">le cas de </w:t>
      </w:r>
      <w:r w:rsidRPr="0070565D">
        <w:rPr>
          <w:sz w:val="24"/>
          <w:szCs w:val="24"/>
        </w:rPr>
        <w:t xml:space="preserve">l’Algérie. En effet, l’année 2013 est une année exceptionnelle où la quasi-totalité des indicateurs socioéconomiques affiche des </w:t>
      </w:r>
      <w:r w:rsidRPr="0070565D">
        <w:rPr>
          <w:sz w:val="24"/>
          <w:szCs w:val="24"/>
        </w:rPr>
        <w:lastRenderedPageBreak/>
        <w:t>performances largement supérieures aux moyennes voire même parfois records (production agricole, réserves de change, prix du baril, taux de chômage, …). Lorsqu’on atteint des valeurs maximales au niveau de l’asymptotique de l’indicateur ou de la performance, l’effort marginal doit être exceptionnel pour gagner encore plus en performance.</w:t>
      </w:r>
    </w:p>
    <w:p w:rsidR="00BD58BD" w:rsidRPr="0070565D" w:rsidRDefault="00BD58BD" w:rsidP="00BD58BD">
      <w:pPr>
        <w:jc w:val="both"/>
        <w:rPr>
          <w:sz w:val="24"/>
          <w:szCs w:val="24"/>
        </w:rPr>
      </w:pPr>
      <w:r w:rsidRPr="0070565D">
        <w:rPr>
          <w:sz w:val="24"/>
          <w:szCs w:val="24"/>
        </w:rPr>
        <w:t xml:space="preserve"> A titre d’exemple, le taux de chômage national a été ramené de 29,5% en 2001 à 9,8% en 2013 ce qui constitue un résultat exceptionnel. En 2019, le taux de chômage est évalué à 11,4%. Mais en 2014 et 2015, il était respectivement à 10,6% et 10,5%. En outre, même le taux de 2019 reste dans la moyenne décennale.</w:t>
      </w:r>
    </w:p>
    <w:p w:rsidR="00BD58BD" w:rsidRPr="0070565D" w:rsidRDefault="00BD58BD" w:rsidP="00BD58BD">
      <w:pPr>
        <w:jc w:val="both"/>
        <w:rPr>
          <w:sz w:val="24"/>
          <w:szCs w:val="24"/>
        </w:rPr>
      </w:pPr>
      <w:r w:rsidRPr="0070565D">
        <w:rPr>
          <w:sz w:val="24"/>
          <w:szCs w:val="24"/>
        </w:rPr>
        <w:t>Les stratégies menées à ce jour et les résultats o</w:t>
      </w:r>
      <w:r w:rsidR="00D25AEB">
        <w:rPr>
          <w:sz w:val="24"/>
          <w:szCs w:val="24"/>
        </w:rPr>
        <w:t>btenus ne peuvent que confirmer</w:t>
      </w:r>
      <w:r w:rsidRPr="0070565D">
        <w:rPr>
          <w:sz w:val="24"/>
          <w:szCs w:val="24"/>
        </w:rPr>
        <w:t xml:space="preserve"> la cohérence des programmes lancés et l'importance du rôle des différents secteurs dans le développement économique du pays. </w:t>
      </w:r>
    </w:p>
    <w:p w:rsidR="00BD58BD" w:rsidRPr="0070565D" w:rsidRDefault="00BD58BD" w:rsidP="00BD58BD">
      <w:pPr>
        <w:jc w:val="both"/>
        <w:rPr>
          <w:sz w:val="24"/>
          <w:szCs w:val="24"/>
        </w:rPr>
      </w:pPr>
      <w:r w:rsidRPr="0070565D">
        <w:rPr>
          <w:sz w:val="24"/>
          <w:szCs w:val="24"/>
        </w:rPr>
        <w:t xml:space="preserve">En effet, l'on enregistre un bond important aussi bien quantitatif que qualitatif, grâce aux efforts consentis pour soutenir le développement sectoriel, à travers la mise en œuvre de programmes de développement et leurs suivis permanents. </w:t>
      </w:r>
    </w:p>
    <w:p w:rsidR="00BD58BD" w:rsidRPr="0070565D" w:rsidRDefault="00BD58BD" w:rsidP="00D25AEB">
      <w:pPr>
        <w:jc w:val="both"/>
        <w:rPr>
          <w:sz w:val="24"/>
          <w:szCs w:val="24"/>
        </w:rPr>
      </w:pPr>
      <w:r w:rsidRPr="0070565D">
        <w:rPr>
          <w:sz w:val="24"/>
          <w:szCs w:val="24"/>
        </w:rPr>
        <w:t>Cette évaluation a permis également d’identifier au moyens d’indicateurs standardisés à l’ensem</w:t>
      </w:r>
      <w:r w:rsidR="00D25AEB">
        <w:rPr>
          <w:sz w:val="24"/>
          <w:szCs w:val="24"/>
        </w:rPr>
        <w:t>ble des secteurs ayant participé</w:t>
      </w:r>
      <w:r w:rsidRPr="0070565D">
        <w:rPr>
          <w:sz w:val="24"/>
          <w:szCs w:val="24"/>
        </w:rPr>
        <w:t xml:space="preserve"> à l’élaboration de ce rapport, le niveau de performance atteint et les efforts à fournir </w:t>
      </w:r>
      <w:r w:rsidR="00D25AEB">
        <w:rPr>
          <w:sz w:val="24"/>
          <w:szCs w:val="24"/>
        </w:rPr>
        <w:t>à</w:t>
      </w:r>
      <w:r w:rsidRPr="0070565D">
        <w:rPr>
          <w:sz w:val="24"/>
          <w:szCs w:val="24"/>
        </w:rPr>
        <w:t xml:space="preserve"> l’avenir pour réaliser les objectifs prioritaires et urgent</w:t>
      </w:r>
      <w:r>
        <w:rPr>
          <w:sz w:val="24"/>
          <w:szCs w:val="24"/>
        </w:rPr>
        <w:t>s</w:t>
      </w:r>
      <w:r w:rsidRPr="0070565D">
        <w:rPr>
          <w:sz w:val="24"/>
          <w:szCs w:val="24"/>
        </w:rPr>
        <w:t xml:space="preserve"> tel</w:t>
      </w:r>
      <w:r>
        <w:rPr>
          <w:sz w:val="24"/>
          <w:szCs w:val="24"/>
        </w:rPr>
        <w:t>s</w:t>
      </w:r>
      <w:r w:rsidRPr="0070565D">
        <w:rPr>
          <w:sz w:val="24"/>
          <w:szCs w:val="24"/>
        </w:rPr>
        <w:t xml:space="preserve"> qu’</w:t>
      </w:r>
      <w:r w:rsidR="00D25AEB">
        <w:rPr>
          <w:sz w:val="24"/>
          <w:szCs w:val="24"/>
        </w:rPr>
        <w:t>identifiés</w:t>
      </w:r>
      <w:r w:rsidRPr="0070565D">
        <w:rPr>
          <w:sz w:val="24"/>
          <w:szCs w:val="24"/>
        </w:rPr>
        <w:t xml:space="preserve"> dans la séquence des priorités de l’Agenda 2063.</w:t>
      </w:r>
    </w:p>
    <w:p w:rsidR="00D25AEB" w:rsidRDefault="00D25AEB" w:rsidP="00D25AEB">
      <w:pPr>
        <w:jc w:val="both"/>
        <w:rPr>
          <w:sz w:val="24"/>
          <w:szCs w:val="24"/>
        </w:rPr>
      </w:pPr>
      <w:r w:rsidRPr="00CA4063">
        <w:rPr>
          <w:sz w:val="24"/>
          <w:szCs w:val="24"/>
        </w:rPr>
        <w:t>Grâce à cette évaluation</w:t>
      </w:r>
      <w:r>
        <w:rPr>
          <w:sz w:val="24"/>
          <w:szCs w:val="24"/>
        </w:rPr>
        <w:t>,</w:t>
      </w:r>
      <w:r w:rsidRPr="00CA4063">
        <w:rPr>
          <w:sz w:val="24"/>
          <w:szCs w:val="24"/>
        </w:rPr>
        <w:t xml:space="preserve"> </w:t>
      </w:r>
      <w:r>
        <w:rPr>
          <w:sz w:val="24"/>
          <w:szCs w:val="24"/>
        </w:rPr>
        <w:t>l</w:t>
      </w:r>
      <w:r w:rsidR="00BD58BD" w:rsidRPr="00CA4063">
        <w:rPr>
          <w:sz w:val="24"/>
          <w:szCs w:val="24"/>
        </w:rPr>
        <w:t>es réformes économiques et financières engagées en Algérie peuvent être diagn</w:t>
      </w:r>
      <w:r>
        <w:rPr>
          <w:sz w:val="24"/>
          <w:szCs w:val="24"/>
        </w:rPr>
        <w:t>ostiquées, ajustées et réévaluées</w:t>
      </w:r>
      <w:r w:rsidR="00BD58BD" w:rsidRPr="00CA4063">
        <w:rPr>
          <w:sz w:val="24"/>
          <w:szCs w:val="24"/>
        </w:rPr>
        <w:t xml:space="preserve"> au besoin. </w:t>
      </w:r>
    </w:p>
    <w:p w:rsidR="001A3F43" w:rsidRDefault="00D25AEB" w:rsidP="001A3F43">
      <w:pPr>
        <w:jc w:val="both"/>
        <w:rPr>
          <w:sz w:val="24"/>
          <w:szCs w:val="24"/>
        </w:rPr>
      </w:pPr>
      <w:r>
        <w:rPr>
          <w:sz w:val="24"/>
          <w:szCs w:val="24"/>
        </w:rPr>
        <w:t xml:space="preserve">L’autre </w:t>
      </w:r>
      <w:r w:rsidR="00BD58BD" w:rsidRPr="0070565D">
        <w:rPr>
          <w:sz w:val="24"/>
          <w:szCs w:val="24"/>
        </w:rPr>
        <w:t>leçon à retenir et à appliquer dans l’immédiat, concerne le consensus et la concertation sectorielle. En effet, ce rapport a permis aux représentants des différents secteurs de se réunir et de se concert</w:t>
      </w:r>
      <w:r>
        <w:rPr>
          <w:sz w:val="24"/>
          <w:szCs w:val="24"/>
        </w:rPr>
        <w:t>er</w:t>
      </w:r>
      <w:r w:rsidR="00BD58BD" w:rsidRPr="0070565D">
        <w:rPr>
          <w:sz w:val="24"/>
          <w:szCs w:val="24"/>
        </w:rPr>
        <w:t xml:space="preserve"> sur l’efficacité des différents</w:t>
      </w:r>
      <w:r>
        <w:rPr>
          <w:sz w:val="24"/>
          <w:szCs w:val="24"/>
        </w:rPr>
        <w:t xml:space="preserve"> politiques sectorielles, tout</w:t>
      </w:r>
      <w:r w:rsidR="00BD58BD" w:rsidRPr="0070565D">
        <w:rPr>
          <w:sz w:val="24"/>
          <w:szCs w:val="24"/>
        </w:rPr>
        <w:t xml:space="preserve"> en tenant compte des préoccupations des interférences entre branche d’activité et secteurs. </w:t>
      </w:r>
    </w:p>
    <w:p w:rsidR="007E638F" w:rsidRPr="007E638F" w:rsidRDefault="007E638F" w:rsidP="001A3F43">
      <w:pPr>
        <w:jc w:val="both"/>
        <w:rPr>
          <w:sz w:val="6"/>
          <w:szCs w:val="6"/>
        </w:rPr>
      </w:pPr>
    </w:p>
    <w:p w:rsidR="00E370EC" w:rsidRPr="009513E3" w:rsidRDefault="00CC2B09" w:rsidP="00E06F32">
      <w:pPr>
        <w:jc w:val="both"/>
        <w:rPr>
          <w:rFonts w:cs="Calibri"/>
          <w:b/>
          <w:bCs/>
          <w:sz w:val="24"/>
          <w:szCs w:val="24"/>
          <w:u w:val="single"/>
        </w:rPr>
      </w:pPr>
      <w:r>
        <w:rPr>
          <w:rFonts w:cs="Calibri"/>
          <w:b/>
          <w:bCs/>
          <w:sz w:val="24"/>
          <w:szCs w:val="24"/>
          <w:u w:val="single"/>
        </w:rPr>
        <w:t xml:space="preserve">VII- </w:t>
      </w:r>
      <w:r w:rsidR="00D03F03" w:rsidRPr="009513E3">
        <w:rPr>
          <w:rFonts w:cs="Calibri"/>
          <w:b/>
          <w:bCs/>
          <w:sz w:val="24"/>
          <w:szCs w:val="24"/>
          <w:u w:val="single"/>
        </w:rPr>
        <w:t>CONCLUSION</w:t>
      </w:r>
    </w:p>
    <w:p w:rsidR="00BD58BD" w:rsidRPr="0070565D" w:rsidRDefault="00BD58BD" w:rsidP="009513E3">
      <w:pPr>
        <w:jc w:val="both"/>
        <w:rPr>
          <w:sz w:val="24"/>
          <w:szCs w:val="24"/>
        </w:rPr>
      </w:pPr>
      <w:r w:rsidRPr="0070565D">
        <w:rPr>
          <w:sz w:val="24"/>
          <w:szCs w:val="24"/>
        </w:rPr>
        <w:t>En collaboration avec les différents acteurs économique</w:t>
      </w:r>
      <w:r>
        <w:rPr>
          <w:sz w:val="24"/>
          <w:szCs w:val="24"/>
        </w:rPr>
        <w:t>s</w:t>
      </w:r>
      <w:r w:rsidRPr="0070565D">
        <w:rPr>
          <w:sz w:val="24"/>
          <w:szCs w:val="24"/>
        </w:rPr>
        <w:t xml:space="preserve">, l’Algérie a mis en </w:t>
      </w:r>
      <w:r w:rsidRPr="009513E3">
        <w:rPr>
          <w:sz w:val="24"/>
          <w:szCs w:val="24"/>
        </w:rPr>
        <w:t>place une démarche inclusive et participative pour l’élaboration de son premier rapport</w:t>
      </w:r>
      <w:r w:rsidR="009513E3">
        <w:rPr>
          <w:sz w:val="24"/>
          <w:szCs w:val="24"/>
        </w:rPr>
        <w:t xml:space="preserve"> décennal </w:t>
      </w:r>
      <w:r w:rsidRPr="009513E3">
        <w:rPr>
          <w:sz w:val="24"/>
          <w:szCs w:val="24"/>
        </w:rPr>
        <w:t>sur la mi</w:t>
      </w:r>
      <w:r w:rsidRPr="0070565D">
        <w:rPr>
          <w:sz w:val="24"/>
          <w:szCs w:val="24"/>
        </w:rPr>
        <w:t>se en œuvre de l’Agenda 2063.</w:t>
      </w:r>
    </w:p>
    <w:p w:rsidR="00BD58BD" w:rsidRDefault="00BD58BD" w:rsidP="001A3F43">
      <w:pPr>
        <w:jc w:val="both"/>
        <w:rPr>
          <w:sz w:val="24"/>
          <w:szCs w:val="24"/>
        </w:rPr>
      </w:pPr>
      <w:r w:rsidRPr="0070565D">
        <w:rPr>
          <w:sz w:val="24"/>
          <w:szCs w:val="24"/>
        </w:rPr>
        <w:t>A travers ce premier rapport</w:t>
      </w:r>
      <w:r>
        <w:rPr>
          <w:sz w:val="24"/>
          <w:szCs w:val="24"/>
        </w:rPr>
        <w:t>, il est aisé de constater que</w:t>
      </w:r>
      <w:r w:rsidRPr="0070565D">
        <w:rPr>
          <w:sz w:val="24"/>
          <w:szCs w:val="24"/>
        </w:rPr>
        <w:t xml:space="preserve"> plus de 84% des indicateurs ont été renseigné</w:t>
      </w:r>
      <w:r w:rsidR="001A3F43">
        <w:rPr>
          <w:sz w:val="24"/>
          <w:szCs w:val="24"/>
        </w:rPr>
        <w:t>s</w:t>
      </w:r>
      <w:r w:rsidRPr="0070565D">
        <w:rPr>
          <w:sz w:val="24"/>
          <w:szCs w:val="24"/>
        </w:rPr>
        <w:t xml:space="preserve"> </w:t>
      </w:r>
      <w:r>
        <w:rPr>
          <w:sz w:val="24"/>
          <w:szCs w:val="24"/>
        </w:rPr>
        <w:t xml:space="preserve">avec </w:t>
      </w:r>
      <w:r w:rsidRPr="00860E56">
        <w:rPr>
          <w:sz w:val="24"/>
          <w:szCs w:val="24"/>
        </w:rPr>
        <w:t>leur métadonnées</w:t>
      </w:r>
      <w:r>
        <w:rPr>
          <w:sz w:val="24"/>
          <w:szCs w:val="24"/>
        </w:rPr>
        <w:t xml:space="preserve"> </w:t>
      </w:r>
      <w:r w:rsidRPr="0070565D">
        <w:rPr>
          <w:sz w:val="24"/>
          <w:szCs w:val="24"/>
        </w:rPr>
        <w:t>et seront suivi</w:t>
      </w:r>
      <w:r>
        <w:rPr>
          <w:sz w:val="24"/>
          <w:szCs w:val="24"/>
        </w:rPr>
        <w:t>s</w:t>
      </w:r>
      <w:r w:rsidRPr="0070565D">
        <w:rPr>
          <w:sz w:val="24"/>
          <w:szCs w:val="24"/>
        </w:rPr>
        <w:t xml:space="preserve"> et revu</w:t>
      </w:r>
      <w:r>
        <w:rPr>
          <w:sz w:val="24"/>
          <w:szCs w:val="24"/>
        </w:rPr>
        <w:t>s</w:t>
      </w:r>
      <w:r w:rsidR="001A3F43">
        <w:rPr>
          <w:sz w:val="24"/>
          <w:szCs w:val="24"/>
        </w:rPr>
        <w:t xml:space="preserve"> tout</w:t>
      </w:r>
      <w:r w:rsidRPr="0070565D">
        <w:rPr>
          <w:sz w:val="24"/>
          <w:szCs w:val="24"/>
        </w:rPr>
        <w:t xml:space="preserve"> </w:t>
      </w:r>
      <w:r w:rsidR="001A3F43">
        <w:rPr>
          <w:sz w:val="24"/>
          <w:szCs w:val="24"/>
        </w:rPr>
        <w:t>au</w:t>
      </w:r>
      <w:r w:rsidRPr="0070565D">
        <w:rPr>
          <w:sz w:val="24"/>
          <w:szCs w:val="24"/>
        </w:rPr>
        <w:t xml:space="preserve"> long de la prochaine étape d’évaluation. Les leçons tirées de cette première expérience serviront à améliorer le cadre de suivi de cette d’évaluation. </w:t>
      </w:r>
    </w:p>
    <w:p w:rsidR="00BD58BD" w:rsidRDefault="00BD58BD" w:rsidP="00BD58BD">
      <w:pPr>
        <w:jc w:val="both"/>
        <w:rPr>
          <w:sz w:val="24"/>
          <w:szCs w:val="24"/>
        </w:rPr>
      </w:pPr>
      <w:r w:rsidRPr="0070565D">
        <w:rPr>
          <w:sz w:val="24"/>
          <w:szCs w:val="24"/>
        </w:rPr>
        <w:t>C'est ainsi que des résultats notables ont été capitalisés dans tous les domaines de priorité, dont notamment la consolidation de la sécurité alimentaire par le développement de l'ensemble des filières, l'amélioration des conditions de vie des populations rurales et le renforcement du pouvoir d'achat.</w:t>
      </w:r>
    </w:p>
    <w:p w:rsidR="00CF605F" w:rsidRPr="0070565D" w:rsidRDefault="00CF605F" w:rsidP="00BD58BD">
      <w:pPr>
        <w:jc w:val="both"/>
        <w:rPr>
          <w:sz w:val="24"/>
          <w:szCs w:val="24"/>
        </w:rPr>
      </w:pPr>
    </w:p>
    <w:p w:rsidR="00BD58BD" w:rsidRPr="0070565D" w:rsidRDefault="00BD58BD" w:rsidP="001A3F43">
      <w:pPr>
        <w:jc w:val="both"/>
        <w:rPr>
          <w:sz w:val="24"/>
          <w:szCs w:val="24"/>
        </w:rPr>
      </w:pPr>
      <w:r w:rsidRPr="0070565D">
        <w:rPr>
          <w:sz w:val="24"/>
          <w:szCs w:val="24"/>
        </w:rPr>
        <w:lastRenderedPageBreak/>
        <w:t xml:space="preserve">Les objectifs de l'Agenda 2063 "L’Afrique Que Nous Voulons", sont en parfaite adéquation avec la politique de développement de transformation et de modernisation de l’économie nationale, et les progrès réalisés et à </w:t>
      </w:r>
      <w:r w:rsidR="001A3F43">
        <w:rPr>
          <w:sz w:val="24"/>
          <w:szCs w:val="24"/>
        </w:rPr>
        <w:t>atteindre</w:t>
      </w:r>
      <w:r w:rsidRPr="0070565D">
        <w:rPr>
          <w:sz w:val="24"/>
          <w:szCs w:val="24"/>
        </w:rPr>
        <w:t xml:space="preserve"> à l'échelle nationale ne pourront que conforter les attentes affich</w:t>
      </w:r>
      <w:r w:rsidR="001A3F43">
        <w:rPr>
          <w:sz w:val="24"/>
          <w:szCs w:val="24"/>
        </w:rPr>
        <w:t xml:space="preserve">ées à l'échelle continentale et </w:t>
      </w:r>
      <w:r w:rsidRPr="0070565D">
        <w:rPr>
          <w:sz w:val="24"/>
          <w:szCs w:val="24"/>
        </w:rPr>
        <w:t>apporter une contribution certaine.</w:t>
      </w:r>
    </w:p>
    <w:p w:rsidR="00544617" w:rsidRDefault="00544617"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CA4063">
      <w:pPr>
        <w:jc w:val="both"/>
        <w:rPr>
          <w:sz w:val="24"/>
          <w:szCs w:val="24"/>
        </w:rPr>
      </w:pPr>
    </w:p>
    <w:p w:rsidR="007E638F" w:rsidRDefault="007E638F" w:rsidP="008E583B">
      <w:pPr>
        <w:jc w:val="both"/>
        <w:rPr>
          <w:b/>
          <w:bCs/>
          <w:sz w:val="28"/>
          <w:szCs w:val="28"/>
          <w:u w:val="single"/>
        </w:rPr>
      </w:pPr>
    </w:p>
    <w:p w:rsidR="008E583B" w:rsidRPr="00544617" w:rsidRDefault="00CC2B09" w:rsidP="008E583B">
      <w:pPr>
        <w:jc w:val="both"/>
        <w:rPr>
          <w:b/>
          <w:bCs/>
          <w:sz w:val="28"/>
          <w:szCs w:val="28"/>
          <w:u w:val="single"/>
        </w:rPr>
      </w:pPr>
      <w:r>
        <w:rPr>
          <w:b/>
          <w:bCs/>
          <w:sz w:val="28"/>
          <w:szCs w:val="28"/>
          <w:u w:val="single"/>
        </w:rPr>
        <w:lastRenderedPageBreak/>
        <w:t xml:space="preserve">VII- </w:t>
      </w:r>
      <w:r w:rsidR="008E583B" w:rsidRPr="00544617">
        <w:rPr>
          <w:b/>
          <w:bCs/>
          <w:sz w:val="28"/>
          <w:szCs w:val="28"/>
          <w:u w:val="single"/>
        </w:rPr>
        <w:t>Annexe</w:t>
      </w:r>
      <w:r w:rsidR="00AE04C7">
        <w:rPr>
          <w:b/>
          <w:bCs/>
          <w:sz w:val="28"/>
          <w:szCs w:val="28"/>
          <w:u w:val="single"/>
        </w:rPr>
        <w:t> :</w:t>
      </w:r>
    </w:p>
    <w:p w:rsidR="008E583B" w:rsidRPr="00284029" w:rsidRDefault="008E583B" w:rsidP="008E583B">
      <w:pPr>
        <w:jc w:val="center"/>
        <w:rPr>
          <w:b/>
          <w:bCs/>
        </w:rPr>
      </w:pPr>
      <w:r w:rsidRPr="00284029">
        <w:rPr>
          <w:b/>
          <w:bCs/>
        </w:rPr>
        <w:t>Tab N°1- Evolution du prix moyen du pétrole brut ($ US / baril)</w:t>
      </w:r>
    </w:p>
    <w:tbl>
      <w:tblPr>
        <w:tblW w:w="9600" w:type="dxa"/>
        <w:tblInd w:w="-170" w:type="dxa"/>
        <w:tblLayout w:type="fixed"/>
        <w:tblCellMar>
          <w:left w:w="70" w:type="dxa"/>
          <w:right w:w="70" w:type="dxa"/>
        </w:tblCellMar>
        <w:tblLook w:val="04A0" w:firstRow="1" w:lastRow="0" w:firstColumn="1" w:lastColumn="0" w:noHBand="0" w:noVBand="1"/>
      </w:tblPr>
      <w:tblGrid>
        <w:gridCol w:w="1425"/>
        <w:gridCol w:w="1167"/>
        <w:gridCol w:w="1167"/>
        <w:gridCol w:w="1167"/>
        <w:gridCol w:w="1168"/>
        <w:gridCol w:w="1167"/>
        <w:gridCol w:w="1167"/>
        <w:gridCol w:w="1172"/>
      </w:tblGrid>
      <w:tr w:rsidR="008E583B" w:rsidRPr="008E0A90" w:rsidTr="008E583B">
        <w:trPr>
          <w:trHeight w:val="300"/>
        </w:trPr>
        <w:tc>
          <w:tcPr>
            <w:tcW w:w="1425" w:type="dxa"/>
            <w:tcBorders>
              <w:bottom w:val="single" w:sz="4" w:space="0" w:color="auto"/>
              <w:right w:val="single" w:sz="4" w:space="0" w:color="auto"/>
            </w:tcBorders>
            <w:shd w:val="clear" w:color="auto" w:fill="auto"/>
            <w:noWrap/>
            <w:vAlign w:val="bottom"/>
            <w:hideMark/>
          </w:tcPr>
          <w:p w:rsidR="008E583B" w:rsidRPr="001B4B6A" w:rsidRDefault="008E583B" w:rsidP="002F26E1">
            <w:pPr>
              <w:spacing w:after="0" w:line="240" w:lineRule="auto"/>
              <w:rPr>
                <w:rFonts w:eastAsia="Times New Roman" w:cs="Times New Roman"/>
                <w:color w:val="000000"/>
                <w:lang w:eastAsia="fr-FR"/>
              </w:rPr>
            </w:pPr>
            <w:r w:rsidRPr="001B4B6A">
              <w:rPr>
                <w:rFonts w:eastAsia="Times New Roman" w:cs="Times New Roman"/>
                <w:color w:val="000000"/>
                <w:lang w:eastAsia="fr-FR"/>
              </w:rPr>
              <w:t> </w:t>
            </w:r>
          </w:p>
        </w:tc>
        <w:tc>
          <w:tcPr>
            <w:tcW w:w="1167" w:type="dxa"/>
            <w:tcBorders>
              <w:top w:val="single" w:sz="8" w:space="0" w:color="auto"/>
              <w:left w:val="nil"/>
              <w:bottom w:val="single" w:sz="4" w:space="0" w:color="auto"/>
              <w:right w:val="single" w:sz="4" w:space="0" w:color="auto"/>
            </w:tcBorders>
            <w:shd w:val="clear" w:color="auto" w:fill="FFFF00"/>
            <w:noWrap/>
            <w:vAlign w:val="bottom"/>
            <w:hideMark/>
          </w:tcPr>
          <w:p w:rsidR="008E583B" w:rsidRPr="00260051" w:rsidRDefault="008E583B" w:rsidP="002F26E1">
            <w:pPr>
              <w:spacing w:after="0" w:line="240" w:lineRule="auto"/>
              <w:jc w:val="center"/>
              <w:rPr>
                <w:rFonts w:eastAsia="Times New Roman" w:cs="Times New Roman"/>
                <w:b/>
                <w:bCs/>
                <w:color w:val="000000"/>
                <w:highlight w:val="yellow"/>
                <w:lang w:eastAsia="fr-FR"/>
              </w:rPr>
            </w:pPr>
            <w:r w:rsidRPr="00260051">
              <w:rPr>
                <w:rFonts w:eastAsia="Times New Roman" w:cs="Times New Roman"/>
                <w:b/>
                <w:bCs/>
                <w:color w:val="000000"/>
                <w:highlight w:val="yellow"/>
                <w:lang w:eastAsia="fr-FR"/>
              </w:rPr>
              <w:t>2013</w:t>
            </w:r>
          </w:p>
        </w:tc>
        <w:tc>
          <w:tcPr>
            <w:tcW w:w="1167" w:type="dxa"/>
            <w:tcBorders>
              <w:top w:val="single" w:sz="8" w:space="0" w:color="auto"/>
              <w:left w:val="nil"/>
              <w:bottom w:val="single" w:sz="4" w:space="0" w:color="auto"/>
              <w:right w:val="single" w:sz="4" w:space="0" w:color="auto"/>
            </w:tcBorders>
            <w:shd w:val="clear" w:color="auto" w:fill="FFFF00"/>
            <w:noWrap/>
            <w:vAlign w:val="bottom"/>
            <w:hideMark/>
          </w:tcPr>
          <w:p w:rsidR="008E583B" w:rsidRPr="00260051" w:rsidRDefault="008E583B" w:rsidP="002F26E1">
            <w:pPr>
              <w:spacing w:after="0" w:line="240" w:lineRule="auto"/>
              <w:jc w:val="center"/>
              <w:rPr>
                <w:rFonts w:eastAsia="Times New Roman" w:cs="Times New Roman"/>
                <w:b/>
                <w:bCs/>
                <w:color w:val="000000"/>
                <w:highlight w:val="yellow"/>
                <w:lang w:eastAsia="fr-FR"/>
              </w:rPr>
            </w:pPr>
            <w:r w:rsidRPr="00260051">
              <w:rPr>
                <w:rFonts w:eastAsia="Times New Roman" w:cs="Times New Roman"/>
                <w:b/>
                <w:bCs/>
                <w:color w:val="000000"/>
                <w:highlight w:val="yellow"/>
                <w:lang w:eastAsia="fr-FR"/>
              </w:rPr>
              <w:t>2014</w:t>
            </w:r>
          </w:p>
        </w:tc>
        <w:tc>
          <w:tcPr>
            <w:tcW w:w="1167" w:type="dxa"/>
            <w:tcBorders>
              <w:top w:val="single" w:sz="8" w:space="0" w:color="auto"/>
              <w:left w:val="nil"/>
              <w:bottom w:val="single" w:sz="4" w:space="0" w:color="auto"/>
              <w:right w:val="single" w:sz="4" w:space="0" w:color="auto"/>
            </w:tcBorders>
            <w:shd w:val="clear" w:color="auto" w:fill="FFFF00"/>
            <w:noWrap/>
            <w:vAlign w:val="bottom"/>
            <w:hideMark/>
          </w:tcPr>
          <w:p w:rsidR="008E583B" w:rsidRPr="00260051" w:rsidRDefault="008E583B" w:rsidP="002F26E1">
            <w:pPr>
              <w:spacing w:after="0" w:line="240" w:lineRule="auto"/>
              <w:jc w:val="center"/>
              <w:rPr>
                <w:rFonts w:eastAsia="Times New Roman" w:cs="Times New Roman"/>
                <w:b/>
                <w:bCs/>
                <w:color w:val="000000"/>
                <w:highlight w:val="yellow"/>
                <w:lang w:eastAsia="fr-FR"/>
              </w:rPr>
            </w:pPr>
            <w:r w:rsidRPr="00260051">
              <w:rPr>
                <w:rFonts w:eastAsia="Times New Roman" w:cs="Times New Roman"/>
                <w:b/>
                <w:bCs/>
                <w:color w:val="000000"/>
                <w:highlight w:val="yellow"/>
                <w:lang w:eastAsia="fr-FR"/>
              </w:rPr>
              <w:t>2015</w:t>
            </w:r>
          </w:p>
        </w:tc>
        <w:tc>
          <w:tcPr>
            <w:tcW w:w="1168" w:type="dxa"/>
            <w:tcBorders>
              <w:top w:val="single" w:sz="8" w:space="0" w:color="auto"/>
              <w:left w:val="nil"/>
              <w:bottom w:val="single" w:sz="4" w:space="0" w:color="auto"/>
              <w:right w:val="single" w:sz="4" w:space="0" w:color="auto"/>
            </w:tcBorders>
            <w:shd w:val="clear" w:color="auto" w:fill="FFFF00"/>
            <w:noWrap/>
            <w:vAlign w:val="bottom"/>
            <w:hideMark/>
          </w:tcPr>
          <w:p w:rsidR="008E583B" w:rsidRPr="00260051" w:rsidRDefault="008E583B" w:rsidP="002F26E1">
            <w:pPr>
              <w:spacing w:after="0" w:line="240" w:lineRule="auto"/>
              <w:jc w:val="center"/>
              <w:rPr>
                <w:rFonts w:eastAsia="Times New Roman" w:cs="Times New Roman"/>
                <w:b/>
                <w:bCs/>
                <w:color w:val="000000"/>
                <w:highlight w:val="yellow"/>
                <w:lang w:eastAsia="fr-FR"/>
              </w:rPr>
            </w:pPr>
            <w:r w:rsidRPr="00260051">
              <w:rPr>
                <w:rFonts w:eastAsia="Times New Roman" w:cs="Times New Roman"/>
                <w:b/>
                <w:bCs/>
                <w:color w:val="000000"/>
                <w:highlight w:val="yellow"/>
                <w:lang w:eastAsia="fr-FR"/>
              </w:rPr>
              <w:t>2016</w:t>
            </w:r>
          </w:p>
        </w:tc>
        <w:tc>
          <w:tcPr>
            <w:tcW w:w="1167" w:type="dxa"/>
            <w:tcBorders>
              <w:top w:val="single" w:sz="8" w:space="0" w:color="auto"/>
              <w:left w:val="nil"/>
              <w:bottom w:val="single" w:sz="4" w:space="0" w:color="auto"/>
              <w:right w:val="single" w:sz="4" w:space="0" w:color="auto"/>
            </w:tcBorders>
            <w:shd w:val="clear" w:color="auto" w:fill="FFFF00"/>
            <w:noWrap/>
            <w:vAlign w:val="bottom"/>
            <w:hideMark/>
          </w:tcPr>
          <w:p w:rsidR="008E583B" w:rsidRPr="00260051" w:rsidRDefault="008E583B" w:rsidP="002F26E1">
            <w:pPr>
              <w:spacing w:after="0" w:line="240" w:lineRule="auto"/>
              <w:jc w:val="center"/>
              <w:rPr>
                <w:rFonts w:eastAsia="Times New Roman" w:cs="Times New Roman"/>
                <w:b/>
                <w:bCs/>
                <w:color w:val="000000"/>
                <w:highlight w:val="yellow"/>
                <w:lang w:eastAsia="fr-FR"/>
              </w:rPr>
            </w:pPr>
            <w:r w:rsidRPr="00260051">
              <w:rPr>
                <w:rFonts w:eastAsia="Times New Roman" w:cs="Times New Roman"/>
                <w:b/>
                <w:bCs/>
                <w:color w:val="000000"/>
                <w:highlight w:val="yellow"/>
                <w:lang w:eastAsia="fr-FR"/>
              </w:rPr>
              <w:t>2017</w:t>
            </w:r>
          </w:p>
        </w:tc>
        <w:tc>
          <w:tcPr>
            <w:tcW w:w="1167" w:type="dxa"/>
            <w:tcBorders>
              <w:top w:val="single" w:sz="8" w:space="0" w:color="auto"/>
              <w:left w:val="nil"/>
              <w:bottom w:val="single" w:sz="4" w:space="0" w:color="auto"/>
              <w:right w:val="single" w:sz="4" w:space="0" w:color="auto"/>
            </w:tcBorders>
            <w:shd w:val="clear" w:color="auto" w:fill="FFFF00"/>
            <w:noWrap/>
            <w:vAlign w:val="bottom"/>
            <w:hideMark/>
          </w:tcPr>
          <w:p w:rsidR="008E583B" w:rsidRPr="00260051" w:rsidRDefault="008E583B" w:rsidP="002F26E1">
            <w:pPr>
              <w:spacing w:after="0" w:line="240" w:lineRule="auto"/>
              <w:jc w:val="center"/>
              <w:rPr>
                <w:rFonts w:eastAsia="Times New Roman" w:cs="Times New Roman"/>
                <w:b/>
                <w:bCs/>
                <w:color w:val="000000"/>
                <w:highlight w:val="yellow"/>
                <w:lang w:eastAsia="fr-FR"/>
              </w:rPr>
            </w:pPr>
            <w:r w:rsidRPr="00260051">
              <w:rPr>
                <w:rFonts w:eastAsia="Times New Roman" w:cs="Times New Roman"/>
                <w:b/>
                <w:bCs/>
                <w:color w:val="000000"/>
                <w:highlight w:val="yellow"/>
                <w:lang w:eastAsia="fr-FR"/>
              </w:rPr>
              <w:t>2018</w:t>
            </w:r>
          </w:p>
        </w:tc>
        <w:tc>
          <w:tcPr>
            <w:tcW w:w="1172" w:type="dxa"/>
            <w:tcBorders>
              <w:top w:val="single" w:sz="8" w:space="0" w:color="auto"/>
              <w:left w:val="nil"/>
              <w:bottom w:val="single" w:sz="4" w:space="0" w:color="auto"/>
              <w:right w:val="single" w:sz="8" w:space="0" w:color="auto"/>
            </w:tcBorders>
            <w:shd w:val="clear" w:color="auto" w:fill="FFFF00"/>
            <w:noWrap/>
            <w:vAlign w:val="bottom"/>
            <w:hideMark/>
          </w:tcPr>
          <w:p w:rsidR="008E583B" w:rsidRPr="00260051" w:rsidRDefault="008E583B" w:rsidP="002F26E1">
            <w:pPr>
              <w:spacing w:after="0" w:line="240" w:lineRule="auto"/>
              <w:jc w:val="center"/>
              <w:rPr>
                <w:rFonts w:eastAsia="Times New Roman" w:cs="Times New Roman"/>
                <w:b/>
                <w:bCs/>
                <w:color w:val="000000"/>
                <w:highlight w:val="yellow"/>
                <w:lang w:eastAsia="fr-FR"/>
              </w:rPr>
            </w:pPr>
            <w:r w:rsidRPr="00260051">
              <w:rPr>
                <w:rFonts w:eastAsia="Times New Roman" w:cs="Times New Roman"/>
                <w:b/>
                <w:bCs/>
                <w:color w:val="000000"/>
                <w:highlight w:val="yellow"/>
                <w:lang w:eastAsia="fr-FR"/>
              </w:rPr>
              <w:t>9M2019</w:t>
            </w:r>
          </w:p>
        </w:tc>
      </w:tr>
      <w:tr w:rsidR="008E583B" w:rsidRPr="008E0A90" w:rsidTr="008E583B">
        <w:trPr>
          <w:trHeight w:val="315"/>
        </w:trPr>
        <w:tc>
          <w:tcPr>
            <w:tcW w:w="1425" w:type="dxa"/>
            <w:tcBorders>
              <w:top w:val="single" w:sz="4" w:space="0" w:color="auto"/>
              <w:left w:val="single" w:sz="8" w:space="0" w:color="auto"/>
              <w:bottom w:val="single" w:sz="8" w:space="0" w:color="auto"/>
              <w:right w:val="single" w:sz="8" w:space="0" w:color="auto"/>
            </w:tcBorders>
            <w:shd w:val="clear" w:color="auto" w:fill="FFFF00"/>
            <w:noWrap/>
            <w:vAlign w:val="bottom"/>
            <w:hideMark/>
          </w:tcPr>
          <w:p w:rsidR="008E583B" w:rsidRPr="001B4B6A" w:rsidRDefault="008E583B" w:rsidP="002F26E1">
            <w:pPr>
              <w:spacing w:after="0" w:line="240" w:lineRule="auto"/>
              <w:rPr>
                <w:rFonts w:eastAsia="Times New Roman" w:cs="Times New Roman"/>
                <w:b/>
                <w:bCs/>
                <w:color w:val="000000"/>
                <w:lang w:eastAsia="fr-FR"/>
              </w:rPr>
            </w:pPr>
            <w:r w:rsidRPr="001B4B6A">
              <w:rPr>
                <w:rFonts w:eastAsia="Times New Roman" w:cs="Times New Roman"/>
                <w:b/>
                <w:bCs/>
                <w:color w:val="000000"/>
                <w:lang w:eastAsia="fr-FR"/>
              </w:rPr>
              <w:t>Prix baril</w:t>
            </w:r>
          </w:p>
        </w:tc>
        <w:tc>
          <w:tcPr>
            <w:tcW w:w="1167" w:type="dxa"/>
            <w:tcBorders>
              <w:top w:val="nil"/>
              <w:left w:val="single" w:sz="8" w:space="0" w:color="auto"/>
              <w:bottom w:val="single" w:sz="8" w:space="0" w:color="auto"/>
              <w:right w:val="single" w:sz="8" w:space="0" w:color="auto"/>
            </w:tcBorders>
            <w:shd w:val="clear" w:color="auto" w:fill="F7CAAC"/>
            <w:noWrap/>
            <w:vAlign w:val="bottom"/>
            <w:hideMark/>
          </w:tcPr>
          <w:p w:rsidR="008E583B" w:rsidRPr="001B4B6A" w:rsidRDefault="008E583B" w:rsidP="002F26E1">
            <w:pPr>
              <w:spacing w:after="0" w:line="240" w:lineRule="auto"/>
              <w:jc w:val="center"/>
              <w:rPr>
                <w:rFonts w:eastAsia="Times New Roman" w:cs="Times New Roman"/>
                <w:b/>
                <w:bCs/>
                <w:color w:val="000000"/>
                <w:lang w:eastAsia="fr-FR"/>
              </w:rPr>
            </w:pPr>
            <w:r w:rsidRPr="001B4B6A">
              <w:rPr>
                <w:rFonts w:eastAsia="Times New Roman" w:cs="Times New Roman"/>
                <w:b/>
                <w:bCs/>
                <w:color w:val="000000"/>
                <w:lang w:eastAsia="fr-FR"/>
              </w:rPr>
              <w:t>109</w:t>
            </w:r>
          </w:p>
        </w:tc>
        <w:tc>
          <w:tcPr>
            <w:tcW w:w="1167" w:type="dxa"/>
            <w:tcBorders>
              <w:top w:val="nil"/>
              <w:left w:val="single" w:sz="8" w:space="0" w:color="auto"/>
              <w:bottom w:val="single" w:sz="8" w:space="0" w:color="auto"/>
              <w:right w:val="single" w:sz="8" w:space="0" w:color="auto"/>
            </w:tcBorders>
            <w:shd w:val="clear" w:color="auto" w:fill="F7CAAC"/>
            <w:noWrap/>
            <w:vAlign w:val="bottom"/>
            <w:hideMark/>
          </w:tcPr>
          <w:p w:rsidR="008E583B" w:rsidRPr="001B4B6A" w:rsidRDefault="008E583B" w:rsidP="002F26E1">
            <w:pPr>
              <w:spacing w:after="0" w:line="240" w:lineRule="auto"/>
              <w:jc w:val="center"/>
              <w:rPr>
                <w:rFonts w:eastAsia="Times New Roman" w:cs="Times New Roman"/>
                <w:b/>
                <w:bCs/>
                <w:color w:val="000000"/>
                <w:lang w:eastAsia="fr-FR"/>
              </w:rPr>
            </w:pPr>
            <w:r w:rsidRPr="001B4B6A">
              <w:rPr>
                <w:rFonts w:eastAsia="Times New Roman" w:cs="Times New Roman"/>
                <w:b/>
                <w:bCs/>
                <w:color w:val="000000"/>
                <w:lang w:eastAsia="fr-FR"/>
              </w:rPr>
              <w:t>100,2</w:t>
            </w:r>
          </w:p>
        </w:tc>
        <w:tc>
          <w:tcPr>
            <w:tcW w:w="1167" w:type="dxa"/>
            <w:tcBorders>
              <w:top w:val="nil"/>
              <w:left w:val="single" w:sz="8" w:space="0" w:color="auto"/>
              <w:bottom w:val="single" w:sz="8" w:space="0" w:color="auto"/>
              <w:right w:val="single" w:sz="8" w:space="0" w:color="auto"/>
            </w:tcBorders>
            <w:shd w:val="clear" w:color="auto" w:fill="F7CAAC"/>
            <w:noWrap/>
            <w:vAlign w:val="bottom"/>
            <w:hideMark/>
          </w:tcPr>
          <w:p w:rsidR="008E583B" w:rsidRPr="001B4B6A" w:rsidRDefault="008E583B" w:rsidP="002F26E1">
            <w:pPr>
              <w:spacing w:after="0" w:line="240" w:lineRule="auto"/>
              <w:jc w:val="center"/>
              <w:rPr>
                <w:rFonts w:eastAsia="Times New Roman" w:cs="Times New Roman"/>
                <w:b/>
                <w:bCs/>
                <w:color w:val="000000"/>
                <w:lang w:eastAsia="fr-FR"/>
              </w:rPr>
            </w:pPr>
            <w:r w:rsidRPr="001B4B6A">
              <w:rPr>
                <w:rFonts w:eastAsia="Times New Roman" w:cs="Times New Roman"/>
                <w:b/>
                <w:bCs/>
                <w:color w:val="000000"/>
                <w:lang w:eastAsia="fr-FR"/>
              </w:rPr>
              <w:t>53,1</w:t>
            </w:r>
          </w:p>
        </w:tc>
        <w:tc>
          <w:tcPr>
            <w:tcW w:w="1168" w:type="dxa"/>
            <w:tcBorders>
              <w:top w:val="nil"/>
              <w:left w:val="single" w:sz="8" w:space="0" w:color="auto"/>
              <w:bottom w:val="single" w:sz="8" w:space="0" w:color="auto"/>
              <w:right w:val="single" w:sz="8" w:space="0" w:color="auto"/>
            </w:tcBorders>
            <w:shd w:val="clear" w:color="auto" w:fill="F7CAAC"/>
            <w:noWrap/>
            <w:vAlign w:val="bottom"/>
            <w:hideMark/>
          </w:tcPr>
          <w:p w:rsidR="008E583B" w:rsidRPr="001B4B6A" w:rsidRDefault="008E583B" w:rsidP="002F26E1">
            <w:pPr>
              <w:spacing w:after="0" w:line="240" w:lineRule="auto"/>
              <w:jc w:val="center"/>
              <w:rPr>
                <w:rFonts w:eastAsia="Times New Roman" w:cs="Times New Roman"/>
                <w:b/>
                <w:bCs/>
                <w:color w:val="000000"/>
                <w:lang w:eastAsia="fr-FR"/>
              </w:rPr>
            </w:pPr>
            <w:r w:rsidRPr="001B4B6A">
              <w:rPr>
                <w:rFonts w:eastAsia="Times New Roman" w:cs="Times New Roman"/>
                <w:b/>
                <w:bCs/>
                <w:color w:val="000000"/>
                <w:lang w:eastAsia="fr-FR"/>
              </w:rPr>
              <w:t>45</w:t>
            </w:r>
          </w:p>
        </w:tc>
        <w:tc>
          <w:tcPr>
            <w:tcW w:w="1167" w:type="dxa"/>
            <w:tcBorders>
              <w:top w:val="nil"/>
              <w:left w:val="single" w:sz="8" w:space="0" w:color="auto"/>
              <w:bottom w:val="single" w:sz="8" w:space="0" w:color="auto"/>
              <w:right w:val="single" w:sz="8" w:space="0" w:color="auto"/>
            </w:tcBorders>
            <w:shd w:val="clear" w:color="auto" w:fill="F7CAAC"/>
            <w:noWrap/>
            <w:vAlign w:val="bottom"/>
            <w:hideMark/>
          </w:tcPr>
          <w:p w:rsidR="008E583B" w:rsidRPr="001B4B6A" w:rsidRDefault="008E583B" w:rsidP="002F26E1">
            <w:pPr>
              <w:spacing w:after="0" w:line="240" w:lineRule="auto"/>
              <w:jc w:val="center"/>
              <w:rPr>
                <w:rFonts w:eastAsia="Times New Roman" w:cs="Times New Roman"/>
                <w:b/>
                <w:bCs/>
                <w:color w:val="000000"/>
                <w:lang w:eastAsia="fr-FR"/>
              </w:rPr>
            </w:pPr>
            <w:r w:rsidRPr="001B4B6A">
              <w:rPr>
                <w:rFonts w:eastAsia="Times New Roman" w:cs="Times New Roman"/>
                <w:b/>
                <w:bCs/>
                <w:color w:val="000000"/>
                <w:lang w:eastAsia="fr-FR"/>
              </w:rPr>
              <w:t>54,1</w:t>
            </w:r>
          </w:p>
        </w:tc>
        <w:tc>
          <w:tcPr>
            <w:tcW w:w="1167" w:type="dxa"/>
            <w:tcBorders>
              <w:top w:val="nil"/>
              <w:left w:val="single" w:sz="8" w:space="0" w:color="auto"/>
              <w:bottom w:val="single" w:sz="8" w:space="0" w:color="auto"/>
              <w:right w:val="single" w:sz="8" w:space="0" w:color="auto"/>
            </w:tcBorders>
            <w:shd w:val="clear" w:color="auto" w:fill="F7CAAC"/>
            <w:noWrap/>
            <w:vAlign w:val="bottom"/>
            <w:hideMark/>
          </w:tcPr>
          <w:p w:rsidR="008E583B" w:rsidRPr="001B4B6A" w:rsidRDefault="008E583B" w:rsidP="002F26E1">
            <w:pPr>
              <w:spacing w:after="0" w:line="240" w:lineRule="auto"/>
              <w:jc w:val="center"/>
              <w:rPr>
                <w:rFonts w:eastAsia="Times New Roman" w:cs="Times New Roman"/>
                <w:b/>
                <w:bCs/>
                <w:color w:val="000000"/>
                <w:lang w:eastAsia="fr-FR"/>
              </w:rPr>
            </w:pPr>
            <w:r w:rsidRPr="001B4B6A">
              <w:rPr>
                <w:rFonts w:eastAsia="Times New Roman" w:cs="Times New Roman"/>
                <w:b/>
                <w:bCs/>
                <w:color w:val="000000"/>
                <w:lang w:eastAsia="fr-FR"/>
              </w:rPr>
              <w:t>71,3</w:t>
            </w:r>
          </w:p>
        </w:tc>
        <w:tc>
          <w:tcPr>
            <w:tcW w:w="1172" w:type="dxa"/>
            <w:tcBorders>
              <w:top w:val="nil"/>
              <w:left w:val="single" w:sz="8" w:space="0" w:color="auto"/>
              <w:bottom w:val="single" w:sz="8" w:space="0" w:color="auto"/>
              <w:right w:val="single" w:sz="8" w:space="0" w:color="auto"/>
            </w:tcBorders>
            <w:shd w:val="clear" w:color="auto" w:fill="F7CAAC"/>
            <w:noWrap/>
            <w:vAlign w:val="bottom"/>
            <w:hideMark/>
          </w:tcPr>
          <w:p w:rsidR="008E583B" w:rsidRPr="001B4B6A" w:rsidRDefault="008E583B" w:rsidP="002F26E1">
            <w:pPr>
              <w:spacing w:after="0" w:line="240" w:lineRule="auto"/>
              <w:jc w:val="center"/>
              <w:rPr>
                <w:rFonts w:eastAsia="Times New Roman" w:cs="Times New Roman"/>
                <w:b/>
                <w:bCs/>
                <w:color w:val="000000"/>
                <w:lang w:eastAsia="fr-FR"/>
              </w:rPr>
            </w:pPr>
            <w:r w:rsidRPr="001B4B6A">
              <w:rPr>
                <w:rFonts w:eastAsia="Times New Roman" w:cs="Times New Roman"/>
                <w:b/>
                <w:bCs/>
                <w:color w:val="000000"/>
                <w:lang w:eastAsia="fr-FR"/>
              </w:rPr>
              <w:t>64,6</w:t>
            </w:r>
          </w:p>
        </w:tc>
      </w:tr>
    </w:tbl>
    <w:p w:rsidR="008E583B" w:rsidRPr="00260051" w:rsidRDefault="008E583B" w:rsidP="008E583B">
      <w:pPr>
        <w:jc w:val="both"/>
        <w:rPr>
          <w:sz w:val="20"/>
          <w:szCs w:val="20"/>
        </w:rPr>
      </w:pPr>
      <w:r w:rsidRPr="00260051">
        <w:rPr>
          <w:sz w:val="20"/>
          <w:szCs w:val="20"/>
        </w:rPr>
        <w:t>Source : Ministère de l’Energie</w:t>
      </w:r>
      <w:r>
        <w:rPr>
          <w:sz w:val="20"/>
          <w:szCs w:val="20"/>
        </w:rPr>
        <w:t>.</w:t>
      </w:r>
    </w:p>
    <w:p w:rsidR="008E583B" w:rsidRPr="00284029" w:rsidRDefault="008E583B" w:rsidP="008E583B">
      <w:pPr>
        <w:jc w:val="center"/>
        <w:rPr>
          <w:b/>
          <w:bCs/>
        </w:rPr>
      </w:pPr>
      <w:r w:rsidRPr="00284029">
        <w:rPr>
          <w:b/>
          <w:bCs/>
        </w:rPr>
        <w:t>Tab N°2 – Croissance (%) du Produit Intérieur Brut (PIB) et de ses composantes</w:t>
      </w:r>
    </w:p>
    <w:tbl>
      <w:tblPr>
        <w:tblW w:w="9596" w:type="dxa"/>
        <w:tblInd w:w="-170" w:type="dxa"/>
        <w:tblLayout w:type="fixed"/>
        <w:tblCellMar>
          <w:left w:w="70" w:type="dxa"/>
          <w:right w:w="70" w:type="dxa"/>
        </w:tblCellMar>
        <w:tblLook w:val="04A0" w:firstRow="1" w:lastRow="0" w:firstColumn="1" w:lastColumn="0" w:noHBand="0" w:noVBand="1"/>
      </w:tblPr>
      <w:tblGrid>
        <w:gridCol w:w="3359"/>
        <w:gridCol w:w="779"/>
        <w:gridCol w:w="780"/>
        <w:gridCol w:w="779"/>
        <w:gridCol w:w="780"/>
        <w:gridCol w:w="780"/>
        <w:gridCol w:w="779"/>
        <w:gridCol w:w="780"/>
        <w:gridCol w:w="780"/>
      </w:tblGrid>
      <w:tr w:rsidR="008E583B" w:rsidRPr="008E0A90" w:rsidTr="008E583B">
        <w:trPr>
          <w:trHeight w:val="270"/>
        </w:trPr>
        <w:tc>
          <w:tcPr>
            <w:tcW w:w="3359"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8E583B" w:rsidRPr="00D106B9" w:rsidRDefault="008E583B" w:rsidP="002F26E1">
            <w:pPr>
              <w:spacing w:after="0" w:line="240" w:lineRule="auto"/>
              <w:rPr>
                <w:rFonts w:eastAsia="Times New Roman" w:cs="Times New Roman"/>
                <w:b/>
                <w:bCs/>
                <w:sz w:val="20"/>
                <w:szCs w:val="20"/>
                <w:lang w:eastAsia="fr-FR"/>
              </w:rPr>
            </w:pPr>
            <w:r w:rsidRPr="00D106B9">
              <w:rPr>
                <w:rFonts w:eastAsia="Times New Roman" w:cs="Times New Roman"/>
                <w:b/>
                <w:bCs/>
                <w:sz w:val="20"/>
                <w:szCs w:val="20"/>
                <w:lang w:eastAsia="fr-FR"/>
              </w:rPr>
              <w:t xml:space="preserve">Intitulés des grands secteurs </w:t>
            </w:r>
          </w:p>
        </w:tc>
        <w:tc>
          <w:tcPr>
            <w:tcW w:w="779" w:type="dxa"/>
            <w:tcBorders>
              <w:top w:val="single" w:sz="4" w:space="0" w:color="auto"/>
              <w:left w:val="nil"/>
              <w:bottom w:val="single" w:sz="8" w:space="0" w:color="auto"/>
              <w:right w:val="single" w:sz="8" w:space="0" w:color="auto"/>
            </w:tcBorders>
            <w:shd w:val="clear" w:color="auto" w:fill="FFFF00"/>
            <w:noWrap/>
            <w:vAlign w:val="bottom"/>
          </w:tcPr>
          <w:p w:rsidR="008E583B" w:rsidRPr="00240BD0" w:rsidRDefault="008E583B" w:rsidP="002F26E1">
            <w:pPr>
              <w:spacing w:after="0" w:line="240" w:lineRule="auto"/>
              <w:jc w:val="center"/>
              <w:rPr>
                <w:rFonts w:eastAsia="Times New Roman" w:cs="Times New Roman"/>
                <w:b/>
                <w:bCs/>
                <w:sz w:val="16"/>
                <w:szCs w:val="16"/>
                <w:lang w:eastAsia="fr-FR"/>
              </w:rPr>
            </w:pPr>
            <w:r w:rsidRPr="00240BD0">
              <w:rPr>
                <w:rFonts w:eastAsia="Times New Roman" w:cs="Times New Roman"/>
                <w:b/>
                <w:bCs/>
                <w:sz w:val="16"/>
                <w:szCs w:val="16"/>
                <w:lang w:eastAsia="fr-FR"/>
              </w:rPr>
              <w:t>2013</w:t>
            </w:r>
          </w:p>
        </w:tc>
        <w:tc>
          <w:tcPr>
            <w:tcW w:w="780" w:type="dxa"/>
            <w:tcBorders>
              <w:top w:val="single" w:sz="4" w:space="0" w:color="auto"/>
              <w:left w:val="nil"/>
              <w:bottom w:val="single" w:sz="8" w:space="0" w:color="auto"/>
              <w:right w:val="single" w:sz="8" w:space="0" w:color="auto"/>
            </w:tcBorders>
            <w:shd w:val="clear" w:color="auto" w:fill="FFFF00"/>
            <w:noWrap/>
            <w:vAlign w:val="bottom"/>
          </w:tcPr>
          <w:p w:rsidR="008E583B" w:rsidRPr="00240BD0" w:rsidRDefault="008E583B" w:rsidP="002F26E1">
            <w:pPr>
              <w:spacing w:after="0" w:line="240" w:lineRule="auto"/>
              <w:jc w:val="center"/>
              <w:rPr>
                <w:rFonts w:eastAsia="Times New Roman" w:cs="Times New Roman"/>
                <w:b/>
                <w:bCs/>
                <w:sz w:val="16"/>
                <w:szCs w:val="16"/>
                <w:lang w:eastAsia="fr-FR"/>
              </w:rPr>
            </w:pPr>
            <w:r w:rsidRPr="00240BD0">
              <w:rPr>
                <w:rFonts w:eastAsia="Times New Roman" w:cs="Times New Roman"/>
                <w:b/>
                <w:bCs/>
                <w:sz w:val="16"/>
                <w:szCs w:val="16"/>
                <w:lang w:eastAsia="fr-FR"/>
              </w:rPr>
              <w:t>2014</w:t>
            </w:r>
          </w:p>
        </w:tc>
        <w:tc>
          <w:tcPr>
            <w:tcW w:w="779" w:type="dxa"/>
            <w:tcBorders>
              <w:top w:val="single" w:sz="4" w:space="0" w:color="auto"/>
              <w:left w:val="nil"/>
              <w:bottom w:val="single" w:sz="8" w:space="0" w:color="auto"/>
              <w:right w:val="nil"/>
            </w:tcBorders>
            <w:shd w:val="clear" w:color="auto" w:fill="FFFF00"/>
            <w:noWrap/>
            <w:vAlign w:val="bottom"/>
          </w:tcPr>
          <w:p w:rsidR="008E583B" w:rsidRPr="00240BD0" w:rsidRDefault="008E583B" w:rsidP="002F26E1">
            <w:pPr>
              <w:spacing w:after="0" w:line="240" w:lineRule="auto"/>
              <w:jc w:val="center"/>
              <w:rPr>
                <w:rFonts w:eastAsia="Times New Roman" w:cs="Times New Roman"/>
                <w:b/>
                <w:bCs/>
                <w:sz w:val="16"/>
                <w:szCs w:val="16"/>
                <w:lang w:eastAsia="fr-FR"/>
              </w:rPr>
            </w:pPr>
            <w:r w:rsidRPr="00240BD0">
              <w:rPr>
                <w:rFonts w:eastAsia="Times New Roman" w:cs="Times New Roman"/>
                <w:b/>
                <w:bCs/>
                <w:sz w:val="16"/>
                <w:szCs w:val="16"/>
                <w:lang w:eastAsia="fr-FR"/>
              </w:rPr>
              <w:t>2015</w:t>
            </w:r>
          </w:p>
        </w:tc>
        <w:tc>
          <w:tcPr>
            <w:tcW w:w="780" w:type="dxa"/>
            <w:tcBorders>
              <w:top w:val="single" w:sz="4" w:space="0" w:color="auto"/>
              <w:left w:val="single" w:sz="8" w:space="0" w:color="auto"/>
              <w:bottom w:val="single" w:sz="8" w:space="0" w:color="auto"/>
              <w:right w:val="single" w:sz="8" w:space="0" w:color="auto"/>
            </w:tcBorders>
            <w:shd w:val="clear" w:color="auto" w:fill="FFFF00"/>
            <w:noWrap/>
            <w:vAlign w:val="bottom"/>
          </w:tcPr>
          <w:p w:rsidR="008E583B" w:rsidRPr="00240BD0" w:rsidRDefault="008E583B" w:rsidP="002F26E1">
            <w:pPr>
              <w:spacing w:after="0" w:line="240" w:lineRule="auto"/>
              <w:jc w:val="center"/>
              <w:rPr>
                <w:rFonts w:eastAsia="Times New Roman" w:cs="Times New Roman"/>
                <w:b/>
                <w:bCs/>
                <w:sz w:val="16"/>
                <w:szCs w:val="16"/>
                <w:lang w:eastAsia="fr-FR"/>
              </w:rPr>
            </w:pPr>
            <w:r w:rsidRPr="00240BD0">
              <w:rPr>
                <w:rFonts w:eastAsia="Times New Roman" w:cs="Times New Roman"/>
                <w:b/>
                <w:bCs/>
                <w:sz w:val="16"/>
                <w:szCs w:val="16"/>
                <w:lang w:eastAsia="fr-FR"/>
              </w:rPr>
              <w:t>2016</w:t>
            </w:r>
          </w:p>
        </w:tc>
        <w:tc>
          <w:tcPr>
            <w:tcW w:w="780" w:type="dxa"/>
            <w:tcBorders>
              <w:top w:val="single" w:sz="4" w:space="0" w:color="auto"/>
              <w:left w:val="nil"/>
              <w:bottom w:val="single" w:sz="8" w:space="0" w:color="auto"/>
              <w:right w:val="nil"/>
            </w:tcBorders>
            <w:shd w:val="clear" w:color="auto" w:fill="FFFF00"/>
            <w:noWrap/>
            <w:vAlign w:val="bottom"/>
          </w:tcPr>
          <w:p w:rsidR="008E583B" w:rsidRPr="00240BD0" w:rsidRDefault="008E583B" w:rsidP="002F26E1">
            <w:pPr>
              <w:spacing w:after="0" w:line="240" w:lineRule="auto"/>
              <w:jc w:val="center"/>
              <w:rPr>
                <w:rFonts w:eastAsia="Times New Roman" w:cs="Times New Roman"/>
                <w:b/>
                <w:bCs/>
                <w:sz w:val="16"/>
                <w:szCs w:val="16"/>
                <w:lang w:eastAsia="fr-FR"/>
              </w:rPr>
            </w:pPr>
            <w:r w:rsidRPr="00240BD0">
              <w:rPr>
                <w:rFonts w:eastAsia="Times New Roman" w:cs="Times New Roman"/>
                <w:b/>
                <w:bCs/>
                <w:sz w:val="16"/>
                <w:szCs w:val="16"/>
                <w:lang w:eastAsia="fr-FR"/>
              </w:rPr>
              <w:t>2017</w:t>
            </w:r>
          </w:p>
        </w:tc>
        <w:tc>
          <w:tcPr>
            <w:tcW w:w="779" w:type="dxa"/>
            <w:tcBorders>
              <w:top w:val="single" w:sz="4" w:space="0" w:color="auto"/>
              <w:left w:val="single" w:sz="8" w:space="0" w:color="auto"/>
              <w:bottom w:val="single" w:sz="8" w:space="0" w:color="auto"/>
              <w:right w:val="single" w:sz="4" w:space="0" w:color="auto"/>
            </w:tcBorders>
            <w:shd w:val="clear" w:color="auto" w:fill="FFFF00"/>
            <w:noWrap/>
            <w:vAlign w:val="bottom"/>
          </w:tcPr>
          <w:p w:rsidR="008E583B" w:rsidRPr="00240BD0" w:rsidRDefault="008E583B" w:rsidP="002F26E1">
            <w:pPr>
              <w:spacing w:after="0" w:line="240" w:lineRule="auto"/>
              <w:jc w:val="center"/>
              <w:rPr>
                <w:rFonts w:eastAsia="Times New Roman" w:cs="Times New Roman"/>
                <w:b/>
                <w:bCs/>
                <w:sz w:val="16"/>
                <w:szCs w:val="16"/>
                <w:lang w:eastAsia="fr-FR"/>
              </w:rPr>
            </w:pPr>
            <w:r w:rsidRPr="00240BD0">
              <w:rPr>
                <w:rFonts w:eastAsia="Times New Roman" w:cs="Times New Roman"/>
                <w:b/>
                <w:bCs/>
                <w:sz w:val="16"/>
                <w:szCs w:val="16"/>
                <w:lang w:eastAsia="fr-FR"/>
              </w:rPr>
              <w:t>2018</w:t>
            </w:r>
          </w:p>
        </w:tc>
        <w:tc>
          <w:tcPr>
            <w:tcW w:w="780" w:type="dxa"/>
            <w:tcBorders>
              <w:top w:val="single" w:sz="4" w:space="0" w:color="auto"/>
              <w:left w:val="single" w:sz="4" w:space="0" w:color="auto"/>
              <w:bottom w:val="single" w:sz="8" w:space="0" w:color="auto"/>
              <w:right w:val="single" w:sz="4" w:space="0" w:color="auto"/>
            </w:tcBorders>
            <w:shd w:val="clear" w:color="auto" w:fill="FFFF00"/>
            <w:noWrap/>
            <w:vAlign w:val="bottom"/>
            <w:hideMark/>
          </w:tcPr>
          <w:p w:rsidR="008E583B" w:rsidRPr="00240BD0" w:rsidRDefault="008E583B" w:rsidP="002F26E1">
            <w:pPr>
              <w:spacing w:after="0" w:line="240" w:lineRule="auto"/>
              <w:jc w:val="center"/>
              <w:rPr>
                <w:rFonts w:eastAsia="Times New Roman" w:cs="Times New Roman"/>
                <w:b/>
                <w:bCs/>
                <w:sz w:val="16"/>
                <w:szCs w:val="16"/>
                <w:lang w:eastAsia="fr-FR"/>
              </w:rPr>
            </w:pPr>
            <w:r w:rsidRPr="00240BD0">
              <w:rPr>
                <w:rFonts w:eastAsia="Times New Roman" w:cs="Times New Roman"/>
                <w:b/>
                <w:bCs/>
                <w:sz w:val="16"/>
                <w:szCs w:val="16"/>
                <w:lang w:eastAsia="fr-FR"/>
              </w:rPr>
              <w:t>9M2019</w:t>
            </w:r>
          </w:p>
        </w:tc>
        <w:tc>
          <w:tcPr>
            <w:tcW w:w="780" w:type="dxa"/>
            <w:tcBorders>
              <w:top w:val="single" w:sz="4" w:space="0" w:color="auto"/>
              <w:left w:val="single" w:sz="4" w:space="0" w:color="auto"/>
              <w:bottom w:val="single" w:sz="8" w:space="0" w:color="auto"/>
              <w:right w:val="single" w:sz="4" w:space="0" w:color="auto"/>
            </w:tcBorders>
            <w:shd w:val="clear" w:color="auto" w:fill="FFFF00"/>
          </w:tcPr>
          <w:p w:rsidR="008E583B" w:rsidRPr="00240BD0" w:rsidRDefault="008E583B" w:rsidP="002F26E1">
            <w:pPr>
              <w:spacing w:after="0" w:line="240" w:lineRule="auto"/>
              <w:jc w:val="center"/>
              <w:rPr>
                <w:rFonts w:eastAsia="Times New Roman" w:cs="Times New Roman"/>
                <w:b/>
                <w:bCs/>
                <w:sz w:val="16"/>
                <w:szCs w:val="16"/>
                <w:lang w:eastAsia="fr-FR"/>
              </w:rPr>
            </w:pPr>
            <w:r w:rsidRPr="00240BD0">
              <w:rPr>
                <w:rFonts w:eastAsia="Times New Roman" w:cs="Times New Roman"/>
                <w:b/>
                <w:bCs/>
                <w:sz w:val="16"/>
                <w:szCs w:val="16"/>
                <w:lang w:eastAsia="fr-FR"/>
              </w:rPr>
              <w:t>Moy</w:t>
            </w:r>
          </w:p>
        </w:tc>
      </w:tr>
      <w:tr w:rsidR="008E583B" w:rsidRPr="008E0A90" w:rsidTr="008E583B">
        <w:trPr>
          <w:trHeight w:hRule="exact" w:val="340"/>
        </w:trPr>
        <w:tc>
          <w:tcPr>
            <w:tcW w:w="3359" w:type="dxa"/>
            <w:tcBorders>
              <w:top w:val="nil"/>
              <w:left w:val="single" w:sz="4" w:space="0" w:color="auto"/>
              <w:bottom w:val="nil"/>
              <w:right w:val="nil"/>
            </w:tcBorders>
            <w:shd w:val="clear" w:color="000000" w:fill="FFFF00"/>
            <w:noWrap/>
            <w:vAlign w:val="bottom"/>
            <w:hideMark/>
          </w:tcPr>
          <w:p w:rsidR="008E583B" w:rsidRPr="00D106B9" w:rsidRDefault="008E583B" w:rsidP="002F26E1">
            <w:pPr>
              <w:spacing w:after="0" w:line="240" w:lineRule="auto"/>
              <w:rPr>
                <w:rFonts w:eastAsia="Times New Roman" w:cs="Times New Roman"/>
                <w:sz w:val="20"/>
                <w:szCs w:val="20"/>
                <w:lang w:eastAsia="fr-FR"/>
              </w:rPr>
            </w:pPr>
            <w:r w:rsidRPr="00D106B9">
              <w:rPr>
                <w:rFonts w:eastAsia="Times New Roman" w:cs="Times New Roman"/>
                <w:sz w:val="20"/>
                <w:szCs w:val="20"/>
                <w:lang w:eastAsia="fr-FR"/>
              </w:rPr>
              <w:t xml:space="preserve"> Agriculture, sylviculture et pêche</w:t>
            </w:r>
          </w:p>
        </w:tc>
        <w:tc>
          <w:tcPr>
            <w:tcW w:w="779"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8,2</w:t>
            </w:r>
          </w:p>
        </w:tc>
        <w:tc>
          <w:tcPr>
            <w:tcW w:w="780"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2,5</w:t>
            </w:r>
          </w:p>
        </w:tc>
        <w:tc>
          <w:tcPr>
            <w:tcW w:w="779"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6,0</w:t>
            </w:r>
          </w:p>
        </w:tc>
        <w:tc>
          <w:tcPr>
            <w:tcW w:w="780"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1,8</w:t>
            </w:r>
          </w:p>
        </w:tc>
        <w:tc>
          <w:tcPr>
            <w:tcW w:w="780"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1,0</w:t>
            </w:r>
          </w:p>
        </w:tc>
        <w:tc>
          <w:tcPr>
            <w:tcW w:w="779"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5,0</w:t>
            </w:r>
          </w:p>
        </w:tc>
        <w:tc>
          <w:tcPr>
            <w:tcW w:w="780" w:type="dxa"/>
            <w:tcBorders>
              <w:top w:val="single" w:sz="8" w:space="0" w:color="auto"/>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0,5</w:t>
            </w:r>
          </w:p>
        </w:tc>
        <w:tc>
          <w:tcPr>
            <w:tcW w:w="780" w:type="dxa"/>
            <w:tcBorders>
              <w:top w:val="single" w:sz="8" w:space="0" w:color="auto"/>
              <w:left w:val="single" w:sz="8" w:space="0" w:color="auto"/>
              <w:bottom w:val="nil"/>
              <w:right w:val="single" w:sz="8" w:space="0" w:color="auto"/>
            </w:tcBorders>
            <w:shd w:val="clear" w:color="auto" w:fill="F7CAAC"/>
            <w:vAlign w:val="bottom"/>
          </w:tcPr>
          <w:p w:rsidR="008E583B" w:rsidRPr="00240BD0" w:rsidRDefault="008E583B" w:rsidP="002F26E1">
            <w:pPr>
              <w:jc w:val="right"/>
              <w:rPr>
                <w:sz w:val="16"/>
                <w:szCs w:val="16"/>
              </w:rPr>
            </w:pPr>
            <w:r w:rsidRPr="00240BD0">
              <w:rPr>
                <w:sz w:val="16"/>
                <w:szCs w:val="16"/>
              </w:rPr>
              <w:t>3,6</w:t>
            </w:r>
          </w:p>
        </w:tc>
      </w:tr>
      <w:tr w:rsidR="008E583B" w:rsidRPr="008E0A90" w:rsidTr="008E583B">
        <w:trPr>
          <w:trHeight w:hRule="exact" w:val="340"/>
        </w:trPr>
        <w:tc>
          <w:tcPr>
            <w:tcW w:w="3359" w:type="dxa"/>
            <w:tcBorders>
              <w:top w:val="nil"/>
              <w:left w:val="single" w:sz="4" w:space="0" w:color="auto"/>
              <w:bottom w:val="nil"/>
              <w:right w:val="nil"/>
            </w:tcBorders>
            <w:shd w:val="clear" w:color="000000" w:fill="FFFF00"/>
            <w:noWrap/>
            <w:vAlign w:val="bottom"/>
            <w:hideMark/>
          </w:tcPr>
          <w:p w:rsidR="008E583B" w:rsidRPr="00D106B9" w:rsidRDefault="008E583B" w:rsidP="002F26E1">
            <w:pPr>
              <w:spacing w:after="0" w:line="240" w:lineRule="auto"/>
              <w:rPr>
                <w:rFonts w:eastAsia="Times New Roman" w:cs="Times New Roman"/>
                <w:sz w:val="20"/>
                <w:szCs w:val="20"/>
                <w:lang w:eastAsia="fr-FR"/>
              </w:rPr>
            </w:pPr>
            <w:r w:rsidRPr="00D106B9">
              <w:rPr>
                <w:rFonts w:eastAsia="Times New Roman" w:cs="Times New Roman"/>
                <w:sz w:val="20"/>
                <w:szCs w:val="20"/>
                <w:lang w:eastAsia="fr-FR"/>
              </w:rPr>
              <w:t xml:space="preserve"> Hydrocarbures</w:t>
            </w:r>
          </w:p>
        </w:tc>
        <w:tc>
          <w:tcPr>
            <w:tcW w:w="779"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-6,0</w:t>
            </w:r>
          </w:p>
        </w:tc>
        <w:tc>
          <w:tcPr>
            <w:tcW w:w="780"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-0,6</w:t>
            </w:r>
          </w:p>
        </w:tc>
        <w:tc>
          <w:tcPr>
            <w:tcW w:w="779"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0,2</w:t>
            </w:r>
          </w:p>
        </w:tc>
        <w:tc>
          <w:tcPr>
            <w:tcW w:w="780"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7,7</w:t>
            </w:r>
          </w:p>
        </w:tc>
        <w:tc>
          <w:tcPr>
            <w:tcW w:w="780"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-2,4</w:t>
            </w:r>
          </w:p>
        </w:tc>
        <w:tc>
          <w:tcPr>
            <w:tcW w:w="779"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-6,4</w:t>
            </w:r>
          </w:p>
        </w:tc>
        <w:tc>
          <w:tcPr>
            <w:tcW w:w="780"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-4,7</w:t>
            </w:r>
          </w:p>
        </w:tc>
        <w:tc>
          <w:tcPr>
            <w:tcW w:w="780" w:type="dxa"/>
            <w:tcBorders>
              <w:top w:val="nil"/>
              <w:left w:val="single" w:sz="8" w:space="0" w:color="auto"/>
              <w:bottom w:val="nil"/>
              <w:right w:val="single" w:sz="8" w:space="0" w:color="auto"/>
            </w:tcBorders>
            <w:shd w:val="clear" w:color="auto" w:fill="F7CAAC"/>
            <w:vAlign w:val="bottom"/>
          </w:tcPr>
          <w:p w:rsidR="008E583B" w:rsidRPr="00240BD0" w:rsidRDefault="008E583B" w:rsidP="002F26E1">
            <w:pPr>
              <w:jc w:val="right"/>
              <w:rPr>
                <w:sz w:val="16"/>
                <w:szCs w:val="16"/>
              </w:rPr>
            </w:pPr>
            <w:r w:rsidRPr="00240BD0">
              <w:rPr>
                <w:sz w:val="16"/>
                <w:szCs w:val="16"/>
              </w:rPr>
              <w:t>-1,7</w:t>
            </w:r>
          </w:p>
        </w:tc>
      </w:tr>
      <w:tr w:rsidR="008E583B" w:rsidRPr="008E0A90" w:rsidTr="008E583B">
        <w:trPr>
          <w:trHeight w:hRule="exact" w:val="340"/>
        </w:trPr>
        <w:tc>
          <w:tcPr>
            <w:tcW w:w="3359" w:type="dxa"/>
            <w:tcBorders>
              <w:top w:val="nil"/>
              <w:left w:val="single" w:sz="4" w:space="0" w:color="auto"/>
              <w:bottom w:val="nil"/>
              <w:right w:val="nil"/>
            </w:tcBorders>
            <w:shd w:val="clear" w:color="000000" w:fill="FFFF00"/>
            <w:noWrap/>
            <w:vAlign w:val="bottom"/>
            <w:hideMark/>
          </w:tcPr>
          <w:p w:rsidR="008E583B" w:rsidRPr="00D106B9" w:rsidRDefault="008E583B" w:rsidP="002F26E1">
            <w:pPr>
              <w:spacing w:after="0" w:line="240" w:lineRule="auto"/>
              <w:rPr>
                <w:rFonts w:eastAsia="Times New Roman" w:cs="Times New Roman"/>
                <w:sz w:val="20"/>
                <w:szCs w:val="20"/>
                <w:lang w:eastAsia="fr-FR"/>
              </w:rPr>
            </w:pPr>
            <w:r w:rsidRPr="00D106B9">
              <w:rPr>
                <w:rFonts w:eastAsia="Times New Roman" w:cs="Times New Roman"/>
                <w:sz w:val="20"/>
                <w:szCs w:val="20"/>
                <w:lang w:eastAsia="fr-FR"/>
              </w:rPr>
              <w:t xml:space="preserve"> Industries</w:t>
            </w:r>
          </w:p>
        </w:tc>
        <w:tc>
          <w:tcPr>
            <w:tcW w:w="779"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4,0</w:t>
            </w:r>
          </w:p>
        </w:tc>
        <w:tc>
          <w:tcPr>
            <w:tcW w:w="780"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4,0</w:t>
            </w:r>
          </w:p>
        </w:tc>
        <w:tc>
          <w:tcPr>
            <w:tcW w:w="779"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5,0</w:t>
            </w:r>
          </w:p>
        </w:tc>
        <w:tc>
          <w:tcPr>
            <w:tcW w:w="780"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3,7</w:t>
            </w:r>
          </w:p>
        </w:tc>
        <w:tc>
          <w:tcPr>
            <w:tcW w:w="780"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4,7</w:t>
            </w:r>
          </w:p>
        </w:tc>
        <w:tc>
          <w:tcPr>
            <w:tcW w:w="779"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4,1</w:t>
            </w:r>
          </w:p>
        </w:tc>
        <w:tc>
          <w:tcPr>
            <w:tcW w:w="780"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4,7</w:t>
            </w:r>
          </w:p>
        </w:tc>
        <w:tc>
          <w:tcPr>
            <w:tcW w:w="780" w:type="dxa"/>
            <w:tcBorders>
              <w:top w:val="nil"/>
              <w:left w:val="single" w:sz="8" w:space="0" w:color="auto"/>
              <w:bottom w:val="nil"/>
              <w:right w:val="single" w:sz="8" w:space="0" w:color="auto"/>
            </w:tcBorders>
            <w:shd w:val="clear" w:color="auto" w:fill="F7CAAC"/>
            <w:vAlign w:val="bottom"/>
          </w:tcPr>
          <w:p w:rsidR="008E583B" w:rsidRPr="00240BD0" w:rsidRDefault="008E583B" w:rsidP="002F26E1">
            <w:pPr>
              <w:jc w:val="right"/>
              <w:rPr>
                <w:sz w:val="16"/>
                <w:szCs w:val="16"/>
              </w:rPr>
            </w:pPr>
            <w:r w:rsidRPr="00240BD0">
              <w:rPr>
                <w:sz w:val="16"/>
                <w:szCs w:val="16"/>
              </w:rPr>
              <w:t>4,3</w:t>
            </w:r>
          </w:p>
        </w:tc>
      </w:tr>
      <w:tr w:rsidR="008E583B" w:rsidRPr="008E0A90" w:rsidTr="008E583B">
        <w:trPr>
          <w:trHeight w:hRule="exact" w:val="340"/>
        </w:trPr>
        <w:tc>
          <w:tcPr>
            <w:tcW w:w="3359" w:type="dxa"/>
            <w:tcBorders>
              <w:top w:val="nil"/>
              <w:left w:val="single" w:sz="4" w:space="0" w:color="auto"/>
              <w:bottom w:val="nil"/>
              <w:right w:val="nil"/>
            </w:tcBorders>
            <w:shd w:val="clear" w:color="000000" w:fill="FFFF00"/>
            <w:noWrap/>
            <w:vAlign w:val="bottom"/>
            <w:hideMark/>
          </w:tcPr>
          <w:p w:rsidR="008E583B" w:rsidRPr="00D106B9" w:rsidRDefault="008E583B" w:rsidP="002F26E1">
            <w:pPr>
              <w:spacing w:after="0" w:line="240" w:lineRule="auto"/>
              <w:rPr>
                <w:rFonts w:eastAsia="Times New Roman" w:cs="Times New Roman"/>
                <w:sz w:val="20"/>
                <w:szCs w:val="20"/>
                <w:lang w:eastAsia="fr-FR"/>
              </w:rPr>
            </w:pPr>
            <w:r w:rsidRPr="00D106B9">
              <w:rPr>
                <w:rFonts w:eastAsia="Times New Roman" w:cs="Times New Roman"/>
                <w:sz w:val="20"/>
                <w:szCs w:val="20"/>
                <w:lang w:eastAsia="fr-FR"/>
              </w:rPr>
              <w:t xml:space="preserve"> BTPH y compris STPP</w:t>
            </w:r>
          </w:p>
        </w:tc>
        <w:tc>
          <w:tcPr>
            <w:tcW w:w="779"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6,7</w:t>
            </w:r>
          </w:p>
        </w:tc>
        <w:tc>
          <w:tcPr>
            <w:tcW w:w="780"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6,8</w:t>
            </w:r>
          </w:p>
        </w:tc>
        <w:tc>
          <w:tcPr>
            <w:tcW w:w="779"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4,8</w:t>
            </w:r>
          </w:p>
        </w:tc>
        <w:tc>
          <w:tcPr>
            <w:tcW w:w="780"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5,1</w:t>
            </w:r>
          </w:p>
        </w:tc>
        <w:tc>
          <w:tcPr>
            <w:tcW w:w="780"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4,6</w:t>
            </w:r>
          </w:p>
        </w:tc>
        <w:tc>
          <w:tcPr>
            <w:tcW w:w="779"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5,2</w:t>
            </w:r>
          </w:p>
        </w:tc>
        <w:tc>
          <w:tcPr>
            <w:tcW w:w="780"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3,1</w:t>
            </w:r>
          </w:p>
        </w:tc>
        <w:tc>
          <w:tcPr>
            <w:tcW w:w="780" w:type="dxa"/>
            <w:tcBorders>
              <w:top w:val="nil"/>
              <w:left w:val="single" w:sz="8" w:space="0" w:color="auto"/>
              <w:bottom w:val="nil"/>
              <w:right w:val="single" w:sz="8" w:space="0" w:color="auto"/>
            </w:tcBorders>
            <w:shd w:val="clear" w:color="auto" w:fill="F7CAAC"/>
            <w:vAlign w:val="bottom"/>
          </w:tcPr>
          <w:p w:rsidR="008E583B" w:rsidRPr="00240BD0" w:rsidRDefault="008E583B" w:rsidP="002F26E1">
            <w:pPr>
              <w:jc w:val="right"/>
              <w:rPr>
                <w:sz w:val="16"/>
                <w:szCs w:val="16"/>
              </w:rPr>
            </w:pPr>
            <w:r w:rsidRPr="00240BD0">
              <w:rPr>
                <w:sz w:val="16"/>
                <w:szCs w:val="16"/>
              </w:rPr>
              <w:t>5,2</w:t>
            </w:r>
          </w:p>
        </w:tc>
      </w:tr>
      <w:tr w:rsidR="008E583B" w:rsidRPr="008E0A90" w:rsidTr="008E583B">
        <w:trPr>
          <w:trHeight w:hRule="exact" w:val="340"/>
        </w:trPr>
        <w:tc>
          <w:tcPr>
            <w:tcW w:w="3359" w:type="dxa"/>
            <w:tcBorders>
              <w:top w:val="nil"/>
              <w:left w:val="single" w:sz="4" w:space="0" w:color="auto"/>
              <w:bottom w:val="nil"/>
              <w:right w:val="nil"/>
            </w:tcBorders>
            <w:shd w:val="clear" w:color="000000" w:fill="FFFF00"/>
            <w:noWrap/>
            <w:vAlign w:val="bottom"/>
            <w:hideMark/>
          </w:tcPr>
          <w:p w:rsidR="008E583B" w:rsidRPr="00D106B9" w:rsidRDefault="008E583B" w:rsidP="002F26E1">
            <w:pPr>
              <w:spacing w:after="0" w:line="240" w:lineRule="auto"/>
              <w:rPr>
                <w:rFonts w:eastAsia="Times New Roman" w:cs="Times New Roman"/>
                <w:sz w:val="20"/>
                <w:szCs w:val="20"/>
                <w:lang w:eastAsia="fr-FR"/>
              </w:rPr>
            </w:pPr>
            <w:r w:rsidRPr="00D106B9">
              <w:rPr>
                <w:rFonts w:eastAsia="Times New Roman" w:cs="Times New Roman"/>
                <w:sz w:val="20"/>
                <w:szCs w:val="20"/>
                <w:lang w:eastAsia="fr-FR"/>
              </w:rPr>
              <w:t xml:space="preserve"> Services Marchands</w:t>
            </w:r>
          </w:p>
        </w:tc>
        <w:tc>
          <w:tcPr>
            <w:tcW w:w="779"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8,5</w:t>
            </w:r>
          </w:p>
        </w:tc>
        <w:tc>
          <w:tcPr>
            <w:tcW w:w="780"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8,1</w:t>
            </w:r>
          </w:p>
        </w:tc>
        <w:tc>
          <w:tcPr>
            <w:tcW w:w="779"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5,4</w:t>
            </w:r>
          </w:p>
        </w:tc>
        <w:tc>
          <w:tcPr>
            <w:tcW w:w="780"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2,8</w:t>
            </w:r>
          </w:p>
        </w:tc>
        <w:tc>
          <w:tcPr>
            <w:tcW w:w="780"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3,7</w:t>
            </w:r>
          </w:p>
        </w:tc>
        <w:tc>
          <w:tcPr>
            <w:tcW w:w="779" w:type="dxa"/>
            <w:tcBorders>
              <w:top w:val="nil"/>
              <w:left w:val="single" w:sz="8" w:space="0" w:color="auto"/>
              <w:bottom w:val="nil"/>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3,7</w:t>
            </w:r>
          </w:p>
        </w:tc>
        <w:tc>
          <w:tcPr>
            <w:tcW w:w="780" w:type="dxa"/>
            <w:tcBorders>
              <w:top w:val="nil"/>
              <w:left w:val="single" w:sz="8" w:space="0" w:color="auto"/>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3,5</w:t>
            </w:r>
          </w:p>
        </w:tc>
        <w:tc>
          <w:tcPr>
            <w:tcW w:w="780" w:type="dxa"/>
            <w:tcBorders>
              <w:top w:val="nil"/>
              <w:left w:val="single" w:sz="8" w:space="0" w:color="auto"/>
              <w:right w:val="single" w:sz="8" w:space="0" w:color="auto"/>
            </w:tcBorders>
            <w:shd w:val="clear" w:color="auto" w:fill="F7CAAC"/>
            <w:vAlign w:val="bottom"/>
          </w:tcPr>
          <w:p w:rsidR="008E583B" w:rsidRPr="00240BD0" w:rsidRDefault="008E583B" w:rsidP="002F26E1">
            <w:pPr>
              <w:jc w:val="right"/>
              <w:rPr>
                <w:sz w:val="16"/>
                <w:szCs w:val="16"/>
              </w:rPr>
            </w:pPr>
            <w:r w:rsidRPr="00240BD0">
              <w:rPr>
                <w:sz w:val="16"/>
                <w:szCs w:val="16"/>
              </w:rPr>
              <w:t>5,1</w:t>
            </w:r>
          </w:p>
        </w:tc>
      </w:tr>
      <w:tr w:rsidR="008E583B" w:rsidRPr="008E0A90" w:rsidTr="008E583B">
        <w:trPr>
          <w:trHeight w:hRule="exact" w:val="340"/>
        </w:trPr>
        <w:tc>
          <w:tcPr>
            <w:tcW w:w="3359" w:type="dxa"/>
            <w:tcBorders>
              <w:top w:val="nil"/>
              <w:left w:val="single" w:sz="4" w:space="0" w:color="auto"/>
              <w:bottom w:val="single" w:sz="8" w:space="0" w:color="auto"/>
              <w:right w:val="nil"/>
            </w:tcBorders>
            <w:shd w:val="clear" w:color="000000" w:fill="FFFF00"/>
            <w:noWrap/>
            <w:vAlign w:val="bottom"/>
            <w:hideMark/>
          </w:tcPr>
          <w:p w:rsidR="008E583B" w:rsidRPr="00D106B9" w:rsidRDefault="008E583B" w:rsidP="002F26E1">
            <w:pPr>
              <w:spacing w:after="0" w:line="240" w:lineRule="auto"/>
              <w:rPr>
                <w:rFonts w:eastAsia="Times New Roman" w:cs="Times New Roman"/>
                <w:sz w:val="20"/>
                <w:szCs w:val="20"/>
                <w:lang w:eastAsia="fr-FR"/>
              </w:rPr>
            </w:pPr>
            <w:r w:rsidRPr="00D106B9">
              <w:rPr>
                <w:rFonts w:eastAsia="Times New Roman" w:cs="Times New Roman"/>
                <w:sz w:val="20"/>
                <w:szCs w:val="20"/>
                <w:lang w:eastAsia="fr-FR"/>
              </w:rPr>
              <w:t>Services Non Marchands</w:t>
            </w:r>
          </w:p>
        </w:tc>
        <w:tc>
          <w:tcPr>
            <w:tcW w:w="779" w:type="dxa"/>
            <w:tcBorders>
              <w:top w:val="nil"/>
              <w:left w:val="single" w:sz="8" w:space="0" w:color="auto"/>
              <w:bottom w:val="single" w:sz="8" w:space="0" w:color="auto"/>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3,9</w:t>
            </w:r>
          </w:p>
        </w:tc>
        <w:tc>
          <w:tcPr>
            <w:tcW w:w="780" w:type="dxa"/>
            <w:tcBorders>
              <w:top w:val="nil"/>
              <w:left w:val="single" w:sz="8" w:space="0" w:color="auto"/>
              <w:bottom w:val="single" w:sz="8" w:space="0" w:color="auto"/>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4,4</w:t>
            </w:r>
          </w:p>
        </w:tc>
        <w:tc>
          <w:tcPr>
            <w:tcW w:w="779" w:type="dxa"/>
            <w:tcBorders>
              <w:top w:val="nil"/>
              <w:left w:val="single" w:sz="8" w:space="0" w:color="auto"/>
              <w:bottom w:val="single" w:sz="8" w:space="0" w:color="auto"/>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3,6</w:t>
            </w:r>
          </w:p>
        </w:tc>
        <w:tc>
          <w:tcPr>
            <w:tcW w:w="780" w:type="dxa"/>
            <w:tcBorders>
              <w:top w:val="nil"/>
              <w:left w:val="single" w:sz="8" w:space="0" w:color="auto"/>
              <w:bottom w:val="single" w:sz="8" w:space="0" w:color="auto"/>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1,8</w:t>
            </w:r>
          </w:p>
        </w:tc>
        <w:tc>
          <w:tcPr>
            <w:tcW w:w="780" w:type="dxa"/>
            <w:tcBorders>
              <w:top w:val="nil"/>
              <w:left w:val="single" w:sz="8" w:space="0" w:color="auto"/>
              <w:bottom w:val="single" w:sz="8" w:space="0" w:color="auto"/>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0,5</w:t>
            </w:r>
          </w:p>
        </w:tc>
        <w:tc>
          <w:tcPr>
            <w:tcW w:w="779" w:type="dxa"/>
            <w:tcBorders>
              <w:top w:val="nil"/>
              <w:left w:val="single" w:sz="8" w:space="0" w:color="auto"/>
              <w:bottom w:val="single" w:sz="8" w:space="0" w:color="auto"/>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2,7</w:t>
            </w:r>
          </w:p>
        </w:tc>
        <w:tc>
          <w:tcPr>
            <w:tcW w:w="780" w:type="dxa"/>
            <w:tcBorders>
              <w:top w:val="nil"/>
              <w:left w:val="single" w:sz="8" w:space="0" w:color="auto"/>
              <w:bottom w:val="single" w:sz="8" w:space="0" w:color="auto"/>
              <w:right w:val="single" w:sz="8" w:space="0" w:color="auto"/>
            </w:tcBorders>
            <w:shd w:val="clear" w:color="auto" w:fill="F7CAAC"/>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r w:rsidRPr="00240BD0">
              <w:rPr>
                <w:rFonts w:eastAsia="Times New Roman" w:cs="Times New Roman"/>
                <w:sz w:val="16"/>
                <w:szCs w:val="16"/>
                <w:lang w:eastAsia="fr-FR"/>
              </w:rPr>
              <w:t>1,7</w:t>
            </w:r>
          </w:p>
        </w:tc>
        <w:tc>
          <w:tcPr>
            <w:tcW w:w="780" w:type="dxa"/>
            <w:tcBorders>
              <w:top w:val="nil"/>
              <w:left w:val="single" w:sz="8" w:space="0" w:color="auto"/>
              <w:bottom w:val="single" w:sz="8" w:space="0" w:color="auto"/>
              <w:right w:val="single" w:sz="8" w:space="0" w:color="auto"/>
            </w:tcBorders>
            <w:shd w:val="clear" w:color="auto" w:fill="F7CAAC"/>
            <w:vAlign w:val="bottom"/>
          </w:tcPr>
          <w:p w:rsidR="008E583B" w:rsidRPr="00240BD0" w:rsidRDefault="008E583B" w:rsidP="002F26E1">
            <w:pPr>
              <w:jc w:val="right"/>
              <w:rPr>
                <w:sz w:val="16"/>
                <w:szCs w:val="16"/>
              </w:rPr>
            </w:pPr>
            <w:r w:rsidRPr="00240BD0">
              <w:rPr>
                <w:sz w:val="16"/>
                <w:szCs w:val="16"/>
              </w:rPr>
              <w:t>2,7</w:t>
            </w:r>
          </w:p>
        </w:tc>
      </w:tr>
      <w:tr w:rsidR="008E583B" w:rsidRPr="008E0A90" w:rsidTr="008E583B">
        <w:trPr>
          <w:trHeight w:hRule="exact" w:val="194"/>
        </w:trPr>
        <w:tc>
          <w:tcPr>
            <w:tcW w:w="3359" w:type="dxa"/>
            <w:tcBorders>
              <w:top w:val="nil"/>
              <w:left w:val="single" w:sz="4" w:space="0" w:color="auto"/>
              <w:bottom w:val="nil"/>
              <w:right w:val="nil"/>
            </w:tcBorders>
            <w:shd w:val="clear" w:color="auto" w:fill="auto"/>
            <w:noWrap/>
            <w:vAlign w:val="bottom"/>
            <w:hideMark/>
          </w:tcPr>
          <w:p w:rsidR="008E583B" w:rsidRPr="00D106B9" w:rsidRDefault="008E583B" w:rsidP="002F26E1">
            <w:pPr>
              <w:spacing w:after="0" w:line="240" w:lineRule="auto"/>
              <w:rPr>
                <w:rFonts w:eastAsia="Times New Roman" w:cs="Times New Roman"/>
                <w:sz w:val="20"/>
                <w:szCs w:val="20"/>
                <w:lang w:eastAsia="fr-FR"/>
              </w:rPr>
            </w:pPr>
          </w:p>
        </w:tc>
        <w:tc>
          <w:tcPr>
            <w:tcW w:w="779" w:type="dxa"/>
            <w:tcBorders>
              <w:top w:val="nil"/>
              <w:left w:val="nil"/>
              <w:bottom w:val="nil"/>
              <w:right w:val="nil"/>
            </w:tcBorders>
            <w:shd w:val="clear" w:color="auto" w:fill="auto"/>
            <w:noWrap/>
            <w:vAlign w:val="bottom"/>
            <w:hideMark/>
          </w:tcPr>
          <w:p w:rsidR="008E583B" w:rsidRPr="00240BD0" w:rsidRDefault="008E583B" w:rsidP="002F26E1">
            <w:pPr>
              <w:spacing w:after="0" w:line="240" w:lineRule="auto"/>
              <w:jc w:val="center"/>
              <w:rPr>
                <w:rFonts w:eastAsia="Times New Roman" w:cs="Times New Roman"/>
                <w:b/>
                <w:bCs/>
                <w:sz w:val="16"/>
                <w:szCs w:val="16"/>
                <w:lang w:eastAsia="fr-FR"/>
              </w:rPr>
            </w:pPr>
          </w:p>
        </w:tc>
        <w:tc>
          <w:tcPr>
            <w:tcW w:w="780" w:type="dxa"/>
            <w:tcBorders>
              <w:top w:val="nil"/>
              <w:left w:val="nil"/>
              <w:bottom w:val="nil"/>
              <w:right w:val="nil"/>
            </w:tcBorders>
            <w:shd w:val="clear" w:color="auto" w:fill="auto"/>
            <w:noWrap/>
            <w:vAlign w:val="bottom"/>
            <w:hideMark/>
          </w:tcPr>
          <w:p w:rsidR="008E583B" w:rsidRPr="00240BD0" w:rsidRDefault="008E583B" w:rsidP="002F26E1">
            <w:pPr>
              <w:spacing w:after="0" w:line="240" w:lineRule="auto"/>
              <w:jc w:val="center"/>
              <w:rPr>
                <w:rFonts w:eastAsia="Times New Roman" w:cs="Times New Roman"/>
                <w:b/>
                <w:bCs/>
                <w:sz w:val="16"/>
                <w:szCs w:val="16"/>
                <w:lang w:eastAsia="fr-FR"/>
              </w:rPr>
            </w:pPr>
          </w:p>
        </w:tc>
        <w:tc>
          <w:tcPr>
            <w:tcW w:w="779" w:type="dxa"/>
            <w:tcBorders>
              <w:top w:val="nil"/>
              <w:left w:val="nil"/>
              <w:bottom w:val="nil"/>
              <w:right w:val="nil"/>
            </w:tcBorders>
            <w:shd w:val="clear" w:color="auto" w:fill="auto"/>
            <w:noWrap/>
            <w:vAlign w:val="bottom"/>
            <w:hideMark/>
          </w:tcPr>
          <w:p w:rsidR="008E583B" w:rsidRPr="00240BD0" w:rsidRDefault="008E583B" w:rsidP="002F26E1">
            <w:pPr>
              <w:spacing w:after="0" w:line="240" w:lineRule="auto"/>
              <w:jc w:val="center"/>
              <w:rPr>
                <w:rFonts w:eastAsia="Times New Roman" w:cs="Times New Roman"/>
                <w:b/>
                <w:bCs/>
                <w:sz w:val="16"/>
                <w:szCs w:val="16"/>
                <w:lang w:eastAsia="fr-FR"/>
              </w:rPr>
            </w:pPr>
          </w:p>
        </w:tc>
        <w:tc>
          <w:tcPr>
            <w:tcW w:w="780" w:type="dxa"/>
            <w:tcBorders>
              <w:top w:val="nil"/>
              <w:left w:val="nil"/>
              <w:bottom w:val="nil"/>
              <w:right w:val="nil"/>
            </w:tcBorders>
            <w:shd w:val="clear" w:color="auto" w:fill="auto"/>
            <w:noWrap/>
            <w:vAlign w:val="bottom"/>
            <w:hideMark/>
          </w:tcPr>
          <w:p w:rsidR="008E583B" w:rsidRPr="00240BD0" w:rsidRDefault="008E583B" w:rsidP="002F26E1">
            <w:pPr>
              <w:spacing w:after="0" w:line="240" w:lineRule="auto"/>
              <w:jc w:val="center"/>
              <w:rPr>
                <w:rFonts w:eastAsia="Times New Roman" w:cs="Times New Roman"/>
                <w:b/>
                <w:bCs/>
                <w:sz w:val="16"/>
                <w:szCs w:val="16"/>
                <w:lang w:eastAsia="fr-FR"/>
              </w:rPr>
            </w:pPr>
          </w:p>
        </w:tc>
        <w:tc>
          <w:tcPr>
            <w:tcW w:w="780" w:type="dxa"/>
            <w:tcBorders>
              <w:top w:val="nil"/>
              <w:left w:val="nil"/>
              <w:bottom w:val="nil"/>
              <w:right w:val="nil"/>
            </w:tcBorders>
            <w:shd w:val="clear" w:color="auto" w:fill="auto"/>
            <w:noWrap/>
            <w:vAlign w:val="bottom"/>
            <w:hideMark/>
          </w:tcPr>
          <w:p w:rsidR="008E583B" w:rsidRPr="00240BD0" w:rsidRDefault="008E583B" w:rsidP="002F26E1">
            <w:pPr>
              <w:spacing w:after="0" w:line="240" w:lineRule="auto"/>
              <w:jc w:val="center"/>
              <w:rPr>
                <w:rFonts w:eastAsia="Times New Roman" w:cs="Times New Roman"/>
                <w:b/>
                <w:bCs/>
                <w:sz w:val="16"/>
                <w:szCs w:val="16"/>
                <w:lang w:eastAsia="fr-FR"/>
              </w:rPr>
            </w:pPr>
          </w:p>
        </w:tc>
        <w:tc>
          <w:tcPr>
            <w:tcW w:w="779" w:type="dxa"/>
            <w:tcBorders>
              <w:top w:val="nil"/>
              <w:left w:val="nil"/>
              <w:bottom w:val="nil"/>
              <w:right w:val="single" w:sz="4" w:space="0" w:color="auto"/>
            </w:tcBorders>
            <w:shd w:val="clear" w:color="auto" w:fill="auto"/>
            <w:noWrap/>
            <w:vAlign w:val="bottom"/>
            <w:hideMark/>
          </w:tcPr>
          <w:p w:rsidR="008E583B" w:rsidRPr="00240BD0" w:rsidRDefault="008E583B" w:rsidP="002F26E1">
            <w:pPr>
              <w:spacing w:after="0" w:line="240" w:lineRule="auto"/>
              <w:jc w:val="center"/>
              <w:rPr>
                <w:rFonts w:eastAsia="Times New Roman" w:cs="Times New Roman"/>
                <w:b/>
                <w:bCs/>
                <w:sz w:val="16"/>
                <w:szCs w:val="16"/>
                <w:lang w:eastAsia="fr-FR"/>
              </w:rPr>
            </w:pPr>
          </w:p>
        </w:tc>
        <w:tc>
          <w:tcPr>
            <w:tcW w:w="78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8E583B" w:rsidRPr="00240BD0" w:rsidRDefault="008E583B" w:rsidP="002F26E1">
            <w:pPr>
              <w:spacing w:after="0" w:line="240" w:lineRule="auto"/>
              <w:jc w:val="center"/>
              <w:rPr>
                <w:rFonts w:eastAsia="Times New Roman" w:cs="Times New Roman"/>
                <w:b/>
                <w:bCs/>
                <w:sz w:val="16"/>
                <w:szCs w:val="16"/>
                <w:lang w:eastAsia="fr-FR"/>
              </w:rPr>
            </w:pPr>
          </w:p>
        </w:tc>
        <w:tc>
          <w:tcPr>
            <w:tcW w:w="780" w:type="dxa"/>
            <w:tcBorders>
              <w:top w:val="single" w:sz="8" w:space="0" w:color="auto"/>
              <w:left w:val="single" w:sz="4" w:space="0" w:color="auto"/>
              <w:bottom w:val="single" w:sz="8" w:space="0" w:color="auto"/>
              <w:right w:val="single" w:sz="4" w:space="0" w:color="auto"/>
            </w:tcBorders>
            <w:vAlign w:val="bottom"/>
          </w:tcPr>
          <w:p w:rsidR="008E583B" w:rsidRPr="00240BD0" w:rsidRDefault="008E583B" w:rsidP="002F26E1">
            <w:pPr>
              <w:rPr>
                <w:sz w:val="16"/>
                <w:szCs w:val="16"/>
              </w:rPr>
            </w:pPr>
          </w:p>
        </w:tc>
      </w:tr>
      <w:tr w:rsidR="008E583B" w:rsidRPr="008E0A90" w:rsidTr="008E583B">
        <w:trPr>
          <w:trHeight w:hRule="exact" w:val="340"/>
        </w:trPr>
        <w:tc>
          <w:tcPr>
            <w:tcW w:w="3359"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8E583B" w:rsidRPr="00260051" w:rsidRDefault="008E583B" w:rsidP="002F26E1">
            <w:pPr>
              <w:spacing w:after="0" w:line="240" w:lineRule="auto"/>
              <w:rPr>
                <w:rFonts w:eastAsia="Times New Roman" w:cs="Times New Roman"/>
                <w:b/>
                <w:bCs/>
                <w:sz w:val="20"/>
                <w:szCs w:val="20"/>
                <w:lang w:eastAsia="fr-FR"/>
              </w:rPr>
            </w:pPr>
            <w:r w:rsidRPr="00260051">
              <w:rPr>
                <w:rFonts w:eastAsia="Times New Roman" w:cs="Times New Roman"/>
                <w:b/>
                <w:bCs/>
                <w:sz w:val="20"/>
                <w:szCs w:val="20"/>
                <w:lang w:eastAsia="fr-FR"/>
              </w:rPr>
              <w:t>La Production Intérieure Brute</w:t>
            </w:r>
          </w:p>
        </w:tc>
        <w:tc>
          <w:tcPr>
            <w:tcW w:w="779" w:type="dxa"/>
            <w:tcBorders>
              <w:top w:val="single" w:sz="8" w:space="0" w:color="auto"/>
              <w:left w:val="nil"/>
              <w:bottom w:val="single" w:sz="8" w:space="0" w:color="auto"/>
              <w:right w:val="single" w:sz="8" w:space="0" w:color="auto"/>
            </w:tcBorders>
            <w:shd w:val="clear" w:color="auto" w:fill="F7CAAC"/>
            <w:noWrap/>
            <w:vAlign w:val="center"/>
            <w:hideMark/>
          </w:tcPr>
          <w:p w:rsidR="008E583B" w:rsidRPr="00260051" w:rsidRDefault="008E583B" w:rsidP="002F26E1">
            <w:pPr>
              <w:spacing w:after="0" w:line="240" w:lineRule="auto"/>
              <w:jc w:val="right"/>
              <w:rPr>
                <w:rFonts w:eastAsia="Times New Roman" w:cs="Times New Roman"/>
                <w:b/>
                <w:bCs/>
                <w:sz w:val="16"/>
                <w:szCs w:val="16"/>
                <w:lang w:eastAsia="fr-FR"/>
              </w:rPr>
            </w:pPr>
            <w:r w:rsidRPr="00260051">
              <w:rPr>
                <w:rFonts w:eastAsia="Times New Roman" w:cs="Times New Roman"/>
                <w:b/>
                <w:bCs/>
                <w:sz w:val="16"/>
                <w:szCs w:val="16"/>
                <w:lang w:eastAsia="fr-FR"/>
              </w:rPr>
              <w:t>2,5</w:t>
            </w:r>
          </w:p>
        </w:tc>
        <w:tc>
          <w:tcPr>
            <w:tcW w:w="780" w:type="dxa"/>
            <w:tcBorders>
              <w:top w:val="single" w:sz="8" w:space="0" w:color="auto"/>
              <w:left w:val="single" w:sz="8" w:space="0" w:color="auto"/>
              <w:bottom w:val="single" w:sz="8" w:space="0" w:color="auto"/>
              <w:right w:val="single" w:sz="8" w:space="0" w:color="auto"/>
            </w:tcBorders>
            <w:shd w:val="clear" w:color="auto" w:fill="F7CAAC"/>
            <w:noWrap/>
            <w:vAlign w:val="center"/>
            <w:hideMark/>
          </w:tcPr>
          <w:p w:rsidR="008E583B" w:rsidRPr="00260051" w:rsidRDefault="008E583B" w:rsidP="002F26E1">
            <w:pPr>
              <w:spacing w:after="0" w:line="240" w:lineRule="auto"/>
              <w:jc w:val="right"/>
              <w:rPr>
                <w:rFonts w:eastAsia="Times New Roman" w:cs="Times New Roman"/>
                <w:b/>
                <w:bCs/>
                <w:sz w:val="16"/>
                <w:szCs w:val="16"/>
                <w:lang w:eastAsia="fr-FR"/>
              </w:rPr>
            </w:pPr>
            <w:r w:rsidRPr="00260051">
              <w:rPr>
                <w:rFonts w:eastAsia="Times New Roman" w:cs="Times New Roman"/>
                <w:b/>
                <w:bCs/>
                <w:sz w:val="16"/>
                <w:szCs w:val="16"/>
                <w:lang w:eastAsia="fr-FR"/>
              </w:rPr>
              <w:t>3,7</w:t>
            </w:r>
          </w:p>
        </w:tc>
        <w:tc>
          <w:tcPr>
            <w:tcW w:w="779" w:type="dxa"/>
            <w:tcBorders>
              <w:top w:val="single" w:sz="8" w:space="0" w:color="auto"/>
              <w:left w:val="single" w:sz="8" w:space="0" w:color="auto"/>
              <w:bottom w:val="single" w:sz="8" w:space="0" w:color="auto"/>
              <w:right w:val="single" w:sz="8" w:space="0" w:color="auto"/>
            </w:tcBorders>
            <w:shd w:val="clear" w:color="auto" w:fill="F7CAAC"/>
            <w:noWrap/>
            <w:vAlign w:val="center"/>
            <w:hideMark/>
          </w:tcPr>
          <w:p w:rsidR="008E583B" w:rsidRPr="00260051" w:rsidRDefault="008E583B" w:rsidP="002F26E1">
            <w:pPr>
              <w:spacing w:after="0" w:line="240" w:lineRule="auto"/>
              <w:jc w:val="right"/>
              <w:rPr>
                <w:rFonts w:eastAsia="Times New Roman" w:cs="Times New Roman"/>
                <w:b/>
                <w:bCs/>
                <w:sz w:val="16"/>
                <w:szCs w:val="16"/>
                <w:lang w:eastAsia="fr-FR"/>
              </w:rPr>
            </w:pPr>
            <w:r w:rsidRPr="00260051">
              <w:rPr>
                <w:rFonts w:eastAsia="Times New Roman" w:cs="Times New Roman"/>
                <w:b/>
                <w:bCs/>
                <w:sz w:val="16"/>
                <w:szCs w:val="16"/>
                <w:lang w:eastAsia="fr-FR"/>
              </w:rPr>
              <w:t>3,8</w:t>
            </w:r>
          </w:p>
        </w:tc>
        <w:tc>
          <w:tcPr>
            <w:tcW w:w="780" w:type="dxa"/>
            <w:tcBorders>
              <w:top w:val="single" w:sz="8" w:space="0" w:color="auto"/>
              <w:left w:val="single" w:sz="8" w:space="0" w:color="auto"/>
              <w:bottom w:val="single" w:sz="8" w:space="0" w:color="auto"/>
              <w:right w:val="single" w:sz="8" w:space="0" w:color="auto"/>
            </w:tcBorders>
            <w:shd w:val="clear" w:color="auto" w:fill="F7CAAC"/>
            <w:noWrap/>
            <w:vAlign w:val="center"/>
            <w:hideMark/>
          </w:tcPr>
          <w:p w:rsidR="008E583B" w:rsidRPr="00260051" w:rsidRDefault="008E583B" w:rsidP="002F26E1">
            <w:pPr>
              <w:spacing w:after="0" w:line="240" w:lineRule="auto"/>
              <w:jc w:val="right"/>
              <w:rPr>
                <w:rFonts w:eastAsia="Times New Roman" w:cs="Times New Roman"/>
                <w:b/>
                <w:bCs/>
                <w:sz w:val="16"/>
                <w:szCs w:val="16"/>
                <w:lang w:eastAsia="fr-FR"/>
              </w:rPr>
            </w:pPr>
            <w:r w:rsidRPr="00260051">
              <w:rPr>
                <w:rFonts w:eastAsia="Times New Roman" w:cs="Times New Roman"/>
                <w:b/>
                <w:bCs/>
                <w:sz w:val="16"/>
                <w:szCs w:val="16"/>
                <w:lang w:eastAsia="fr-FR"/>
              </w:rPr>
              <w:t>3,5</w:t>
            </w:r>
          </w:p>
        </w:tc>
        <w:tc>
          <w:tcPr>
            <w:tcW w:w="780" w:type="dxa"/>
            <w:tcBorders>
              <w:top w:val="single" w:sz="8" w:space="0" w:color="auto"/>
              <w:left w:val="single" w:sz="8" w:space="0" w:color="auto"/>
              <w:bottom w:val="single" w:sz="8" w:space="0" w:color="auto"/>
              <w:right w:val="single" w:sz="8" w:space="0" w:color="auto"/>
            </w:tcBorders>
            <w:shd w:val="clear" w:color="auto" w:fill="F7CAAC"/>
            <w:noWrap/>
            <w:vAlign w:val="center"/>
            <w:hideMark/>
          </w:tcPr>
          <w:p w:rsidR="008E583B" w:rsidRPr="00260051" w:rsidRDefault="008E583B" w:rsidP="002F26E1">
            <w:pPr>
              <w:spacing w:after="0" w:line="240" w:lineRule="auto"/>
              <w:jc w:val="right"/>
              <w:rPr>
                <w:rFonts w:eastAsia="Times New Roman" w:cs="Times New Roman"/>
                <w:b/>
                <w:bCs/>
                <w:sz w:val="16"/>
                <w:szCs w:val="16"/>
                <w:lang w:eastAsia="fr-FR"/>
              </w:rPr>
            </w:pPr>
            <w:r w:rsidRPr="00260051">
              <w:rPr>
                <w:rFonts w:eastAsia="Times New Roman" w:cs="Times New Roman"/>
                <w:b/>
                <w:bCs/>
                <w:sz w:val="16"/>
                <w:szCs w:val="16"/>
                <w:lang w:eastAsia="fr-FR"/>
              </w:rPr>
              <w:t>1,5</w:t>
            </w:r>
          </w:p>
        </w:tc>
        <w:tc>
          <w:tcPr>
            <w:tcW w:w="779" w:type="dxa"/>
            <w:tcBorders>
              <w:top w:val="single" w:sz="8" w:space="0" w:color="auto"/>
              <w:left w:val="single" w:sz="8" w:space="0" w:color="auto"/>
              <w:bottom w:val="single" w:sz="8" w:space="0" w:color="auto"/>
              <w:right w:val="single" w:sz="8" w:space="0" w:color="auto"/>
            </w:tcBorders>
            <w:shd w:val="clear" w:color="auto" w:fill="F7CAAC"/>
            <w:noWrap/>
            <w:vAlign w:val="center"/>
            <w:hideMark/>
          </w:tcPr>
          <w:p w:rsidR="008E583B" w:rsidRPr="00260051" w:rsidRDefault="008E583B" w:rsidP="002F26E1">
            <w:pPr>
              <w:spacing w:after="0" w:line="240" w:lineRule="auto"/>
              <w:jc w:val="right"/>
              <w:rPr>
                <w:rFonts w:eastAsia="Times New Roman" w:cs="Times New Roman"/>
                <w:b/>
                <w:bCs/>
                <w:sz w:val="16"/>
                <w:szCs w:val="16"/>
                <w:lang w:eastAsia="fr-FR"/>
              </w:rPr>
            </w:pPr>
            <w:r w:rsidRPr="00260051">
              <w:rPr>
                <w:rFonts w:eastAsia="Times New Roman" w:cs="Times New Roman"/>
                <w:b/>
                <w:bCs/>
                <w:sz w:val="16"/>
                <w:szCs w:val="16"/>
                <w:lang w:eastAsia="fr-FR"/>
              </w:rPr>
              <w:t>1,1</w:t>
            </w:r>
          </w:p>
        </w:tc>
        <w:tc>
          <w:tcPr>
            <w:tcW w:w="780" w:type="dxa"/>
            <w:tcBorders>
              <w:top w:val="single" w:sz="8" w:space="0" w:color="auto"/>
              <w:left w:val="single" w:sz="8" w:space="0" w:color="auto"/>
              <w:bottom w:val="single" w:sz="8" w:space="0" w:color="auto"/>
              <w:right w:val="single" w:sz="8" w:space="0" w:color="auto"/>
            </w:tcBorders>
            <w:shd w:val="clear" w:color="auto" w:fill="F7CAAC"/>
            <w:noWrap/>
            <w:vAlign w:val="center"/>
            <w:hideMark/>
          </w:tcPr>
          <w:p w:rsidR="008E583B" w:rsidRPr="00260051" w:rsidRDefault="008E583B" w:rsidP="002F26E1">
            <w:pPr>
              <w:spacing w:after="0" w:line="240" w:lineRule="auto"/>
              <w:jc w:val="right"/>
              <w:rPr>
                <w:rFonts w:eastAsia="Times New Roman" w:cs="Times New Roman"/>
                <w:b/>
                <w:bCs/>
                <w:sz w:val="16"/>
                <w:szCs w:val="16"/>
                <w:lang w:eastAsia="fr-FR"/>
              </w:rPr>
            </w:pPr>
            <w:r w:rsidRPr="00260051">
              <w:rPr>
                <w:rFonts w:eastAsia="Times New Roman" w:cs="Times New Roman"/>
                <w:b/>
                <w:bCs/>
                <w:sz w:val="16"/>
                <w:szCs w:val="16"/>
                <w:lang w:eastAsia="fr-FR"/>
              </w:rPr>
              <w:t>0,8</w:t>
            </w:r>
          </w:p>
        </w:tc>
        <w:tc>
          <w:tcPr>
            <w:tcW w:w="780" w:type="dxa"/>
            <w:tcBorders>
              <w:top w:val="single" w:sz="8" w:space="0" w:color="auto"/>
              <w:left w:val="single" w:sz="8" w:space="0" w:color="auto"/>
              <w:bottom w:val="single" w:sz="8" w:space="0" w:color="auto"/>
              <w:right w:val="single" w:sz="8" w:space="0" w:color="auto"/>
            </w:tcBorders>
            <w:shd w:val="clear" w:color="auto" w:fill="F7CAAC"/>
            <w:vAlign w:val="center"/>
          </w:tcPr>
          <w:p w:rsidR="008E583B" w:rsidRPr="00260051" w:rsidRDefault="008E583B" w:rsidP="002F26E1">
            <w:pPr>
              <w:jc w:val="right"/>
              <w:rPr>
                <w:b/>
                <w:bCs/>
                <w:sz w:val="16"/>
                <w:szCs w:val="16"/>
              </w:rPr>
            </w:pPr>
            <w:r w:rsidRPr="00260051">
              <w:rPr>
                <w:b/>
                <w:bCs/>
                <w:sz w:val="16"/>
                <w:szCs w:val="16"/>
              </w:rPr>
              <w:t>2,4</w:t>
            </w:r>
          </w:p>
        </w:tc>
      </w:tr>
      <w:tr w:rsidR="008E583B" w:rsidRPr="008E0A90" w:rsidTr="008E583B">
        <w:trPr>
          <w:trHeight w:hRule="exact" w:val="230"/>
        </w:trPr>
        <w:tc>
          <w:tcPr>
            <w:tcW w:w="3359" w:type="dxa"/>
            <w:tcBorders>
              <w:top w:val="nil"/>
              <w:left w:val="single" w:sz="4" w:space="0" w:color="auto"/>
              <w:bottom w:val="nil"/>
              <w:right w:val="nil"/>
            </w:tcBorders>
            <w:shd w:val="clear" w:color="auto" w:fill="auto"/>
            <w:vAlign w:val="bottom"/>
            <w:hideMark/>
          </w:tcPr>
          <w:p w:rsidR="008E583B" w:rsidRPr="00D106B9" w:rsidRDefault="008E583B" w:rsidP="002F26E1">
            <w:pPr>
              <w:spacing w:after="0" w:line="240" w:lineRule="auto"/>
              <w:jc w:val="center"/>
              <w:rPr>
                <w:rFonts w:eastAsia="Times New Roman" w:cs="Times New Roman"/>
                <w:color w:val="000000"/>
                <w:sz w:val="20"/>
                <w:szCs w:val="20"/>
                <w:lang w:eastAsia="fr-FR"/>
              </w:rPr>
            </w:pPr>
          </w:p>
        </w:tc>
        <w:tc>
          <w:tcPr>
            <w:tcW w:w="779" w:type="dxa"/>
            <w:tcBorders>
              <w:top w:val="nil"/>
              <w:left w:val="nil"/>
              <w:bottom w:val="nil"/>
              <w:right w:val="nil"/>
            </w:tcBorders>
            <w:shd w:val="clear" w:color="auto" w:fill="auto"/>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p>
        </w:tc>
        <w:tc>
          <w:tcPr>
            <w:tcW w:w="780" w:type="dxa"/>
            <w:tcBorders>
              <w:top w:val="nil"/>
              <w:left w:val="nil"/>
              <w:bottom w:val="nil"/>
              <w:right w:val="nil"/>
            </w:tcBorders>
            <w:shd w:val="clear" w:color="auto" w:fill="auto"/>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p>
        </w:tc>
        <w:tc>
          <w:tcPr>
            <w:tcW w:w="779" w:type="dxa"/>
            <w:tcBorders>
              <w:top w:val="nil"/>
              <w:left w:val="nil"/>
              <w:bottom w:val="nil"/>
              <w:right w:val="nil"/>
            </w:tcBorders>
            <w:shd w:val="clear" w:color="auto" w:fill="auto"/>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p>
        </w:tc>
        <w:tc>
          <w:tcPr>
            <w:tcW w:w="780" w:type="dxa"/>
            <w:tcBorders>
              <w:top w:val="nil"/>
              <w:left w:val="nil"/>
              <w:bottom w:val="nil"/>
              <w:right w:val="nil"/>
            </w:tcBorders>
            <w:shd w:val="clear" w:color="auto" w:fill="auto"/>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p>
        </w:tc>
        <w:tc>
          <w:tcPr>
            <w:tcW w:w="780" w:type="dxa"/>
            <w:tcBorders>
              <w:top w:val="nil"/>
              <w:left w:val="nil"/>
              <w:bottom w:val="nil"/>
              <w:right w:val="nil"/>
            </w:tcBorders>
            <w:shd w:val="clear" w:color="auto" w:fill="auto"/>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p>
        </w:tc>
        <w:tc>
          <w:tcPr>
            <w:tcW w:w="779" w:type="dxa"/>
            <w:tcBorders>
              <w:top w:val="nil"/>
              <w:left w:val="nil"/>
              <w:bottom w:val="nil"/>
              <w:right w:val="single" w:sz="4" w:space="0" w:color="auto"/>
            </w:tcBorders>
            <w:shd w:val="clear" w:color="auto" w:fill="auto"/>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p>
        </w:tc>
        <w:tc>
          <w:tcPr>
            <w:tcW w:w="78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8E583B" w:rsidRPr="00260051" w:rsidRDefault="008E583B" w:rsidP="002F26E1">
            <w:pPr>
              <w:spacing w:after="0" w:line="240" w:lineRule="auto"/>
              <w:jc w:val="center"/>
              <w:rPr>
                <w:rFonts w:eastAsia="Times New Roman" w:cs="Times New Roman"/>
                <w:sz w:val="16"/>
                <w:szCs w:val="16"/>
                <w:lang w:eastAsia="fr-FR"/>
              </w:rPr>
            </w:pPr>
          </w:p>
        </w:tc>
        <w:tc>
          <w:tcPr>
            <w:tcW w:w="780" w:type="dxa"/>
            <w:tcBorders>
              <w:top w:val="single" w:sz="8" w:space="0" w:color="auto"/>
              <w:left w:val="single" w:sz="4" w:space="0" w:color="auto"/>
              <w:bottom w:val="single" w:sz="8" w:space="0" w:color="auto"/>
              <w:right w:val="single" w:sz="4" w:space="0" w:color="auto"/>
            </w:tcBorders>
            <w:vAlign w:val="bottom"/>
          </w:tcPr>
          <w:p w:rsidR="008E583B" w:rsidRPr="00260051" w:rsidRDefault="008E583B" w:rsidP="002F26E1">
            <w:pPr>
              <w:rPr>
                <w:sz w:val="16"/>
                <w:szCs w:val="16"/>
              </w:rPr>
            </w:pPr>
          </w:p>
        </w:tc>
      </w:tr>
      <w:tr w:rsidR="008E583B" w:rsidRPr="008E0A90" w:rsidTr="008E583B">
        <w:trPr>
          <w:trHeight w:hRule="exact" w:val="340"/>
        </w:trPr>
        <w:tc>
          <w:tcPr>
            <w:tcW w:w="3359" w:type="dxa"/>
            <w:tcBorders>
              <w:top w:val="single" w:sz="8" w:space="0" w:color="auto"/>
              <w:left w:val="single" w:sz="4" w:space="0" w:color="auto"/>
              <w:bottom w:val="single" w:sz="8" w:space="0" w:color="auto"/>
              <w:right w:val="single" w:sz="8" w:space="0" w:color="auto"/>
            </w:tcBorders>
            <w:shd w:val="clear" w:color="000000" w:fill="FFFF00"/>
            <w:noWrap/>
            <w:vAlign w:val="bottom"/>
            <w:hideMark/>
          </w:tcPr>
          <w:p w:rsidR="008E583B" w:rsidRPr="00260051" w:rsidRDefault="008E583B" w:rsidP="002F26E1">
            <w:pPr>
              <w:spacing w:after="0" w:line="240" w:lineRule="auto"/>
              <w:rPr>
                <w:rFonts w:eastAsia="Times New Roman" w:cs="Times New Roman"/>
                <w:b/>
                <w:bCs/>
                <w:sz w:val="20"/>
                <w:szCs w:val="20"/>
                <w:lang w:eastAsia="fr-FR"/>
              </w:rPr>
            </w:pPr>
            <w:r w:rsidRPr="00260051">
              <w:rPr>
                <w:rFonts w:eastAsia="Times New Roman" w:cs="Times New Roman"/>
                <w:b/>
                <w:bCs/>
                <w:sz w:val="20"/>
                <w:szCs w:val="20"/>
                <w:lang w:eastAsia="fr-FR"/>
              </w:rPr>
              <w:t>Le Produit Intérieur Brut (PIB)</w:t>
            </w:r>
          </w:p>
        </w:tc>
        <w:tc>
          <w:tcPr>
            <w:tcW w:w="779" w:type="dxa"/>
            <w:tcBorders>
              <w:top w:val="single" w:sz="8" w:space="0" w:color="auto"/>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2,8</w:t>
            </w:r>
          </w:p>
        </w:tc>
        <w:tc>
          <w:tcPr>
            <w:tcW w:w="780"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3,8</w:t>
            </w:r>
          </w:p>
        </w:tc>
        <w:tc>
          <w:tcPr>
            <w:tcW w:w="779"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3,7</w:t>
            </w:r>
          </w:p>
        </w:tc>
        <w:tc>
          <w:tcPr>
            <w:tcW w:w="780"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3,2</w:t>
            </w:r>
          </w:p>
        </w:tc>
        <w:tc>
          <w:tcPr>
            <w:tcW w:w="780"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1,3</w:t>
            </w:r>
          </w:p>
        </w:tc>
        <w:tc>
          <w:tcPr>
            <w:tcW w:w="779"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1,4</w:t>
            </w:r>
          </w:p>
        </w:tc>
        <w:tc>
          <w:tcPr>
            <w:tcW w:w="780"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0,9</w:t>
            </w:r>
          </w:p>
        </w:tc>
        <w:tc>
          <w:tcPr>
            <w:tcW w:w="780" w:type="dxa"/>
            <w:tcBorders>
              <w:top w:val="single" w:sz="8" w:space="0" w:color="auto"/>
              <w:left w:val="single" w:sz="8" w:space="0" w:color="auto"/>
              <w:bottom w:val="single" w:sz="8" w:space="0" w:color="auto"/>
              <w:right w:val="single" w:sz="8" w:space="0" w:color="auto"/>
            </w:tcBorders>
            <w:shd w:val="clear" w:color="auto" w:fill="F7CAAC"/>
            <w:vAlign w:val="bottom"/>
          </w:tcPr>
          <w:p w:rsidR="008E583B" w:rsidRPr="00260051" w:rsidRDefault="008E583B" w:rsidP="002F26E1">
            <w:pPr>
              <w:jc w:val="right"/>
              <w:rPr>
                <w:b/>
                <w:bCs/>
                <w:sz w:val="16"/>
                <w:szCs w:val="16"/>
              </w:rPr>
            </w:pPr>
            <w:r w:rsidRPr="00260051">
              <w:rPr>
                <w:b/>
                <w:bCs/>
                <w:sz w:val="16"/>
                <w:szCs w:val="16"/>
              </w:rPr>
              <w:t>2,4</w:t>
            </w:r>
          </w:p>
        </w:tc>
      </w:tr>
      <w:tr w:rsidR="008E583B" w:rsidRPr="008E0A90" w:rsidTr="008E583B">
        <w:trPr>
          <w:trHeight w:hRule="exact" w:val="224"/>
        </w:trPr>
        <w:tc>
          <w:tcPr>
            <w:tcW w:w="3359" w:type="dxa"/>
            <w:tcBorders>
              <w:top w:val="nil"/>
              <w:left w:val="single" w:sz="4" w:space="0" w:color="auto"/>
              <w:bottom w:val="nil"/>
              <w:right w:val="nil"/>
            </w:tcBorders>
            <w:shd w:val="clear" w:color="auto" w:fill="auto"/>
            <w:vAlign w:val="bottom"/>
            <w:hideMark/>
          </w:tcPr>
          <w:p w:rsidR="008E583B" w:rsidRPr="00260051" w:rsidRDefault="008E583B" w:rsidP="002F26E1">
            <w:pPr>
              <w:spacing w:after="0" w:line="240" w:lineRule="auto"/>
              <w:rPr>
                <w:rFonts w:eastAsia="Times New Roman" w:cs="Times New Roman"/>
                <w:b/>
                <w:bCs/>
                <w:color w:val="000000"/>
                <w:sz w:val="20"/>
                <w:szCs w:val="20"/>
                <w:lang w:eastAsia="fr-FR"/>
              </w:rPr>
            </w:pPr>
          </w:p>
        </w:tc>
        <w:tc>
          <w:tcPr>
            <w:tcW w:w="779" w:type="dxa"/>
            <w:tcBorders>
              <w:top w:val="nil"/>
              <w:left w:val="nil"/>
              <w:bottom w:val="nil"/>
              <w:right w:val="nil"/>
            </w:tcBorders>
            <w:shd w:val="clear" w:color="auto" w:fill="auto"/>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p>
        </w:tc>
        <w:tc>
          <w:tcPr>
            <w:tcW w:w="780" w:type="dxa"/>
            <w:tcBorders>
              <w:top w:val="nil"/>
              <w:left w:val="nil"/>
              <w:bottom w:val="nil"/>
              <w:right w:val="nil"/>
            </w:tcBorders>
            <w:shd w:val="clear" w:color="auto" w:fill="auto"/>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p>
        </w:tc>
        <w:tc>
          <w:tcPr>
            <w:tcW w:w="779" w:type="dxa"/>
            <w:tcBorders>
              <w:top w:val="nil"/>
              <w:left w:val="nil"/>
              <w:bottom w:val="nil"/>
              <w:right w:val="nil"/>
            </w:tcBorders>
            <w:shd w:val="clear" w:color="auto" w:fill="auto"/>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p>
        </w:tc>
        <w:tc>
          <w:tcPr>
            <w:tcW w:w="780" w:type="dxa"/>
            <w:tcBorders>
              <w:top w:val="nil"/>
              <w:left w:val="nil"/>
              <w:bottom w:val="nil"/>
              <w:right w:val="nil"/>
            </w:tcBorders>
            <w:shd w:val="clear" w:color="auto" w:fill="auto"/>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p>
        </w:tc>
        <w:tc>
          <w:tcPr>
            <w:tcW w:w="780" w:type="dxa"/>
            <w:tcBorders>
              <w:top w:val="nil"/>
              <w:left w:val="nil"/>
              <w:bottom w:val="nil"/>
              <w:right w:val="nil"/>
            </w:tcBorders>
            <w:shd w:val="clear" w:color="auto" w:fill="auto"/>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p>
        </w:tc>
        <w:tc>
          <w:tcPr>
            <w:tcW w:w="779" w:type="dxa"/>
            <w:tcBorders>
              <w:top w:val="nil"/>
              <w:left w:val="nil"/>
              <w:bottom w:val="nil"/>
              <w:right w:val="single" w:sz="4" w:space="0" w:color="auto"/>
            </w:tcBorders>
            <w:shd w:val="clear" w:color="auto" w:fill="auto"/>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p>
        </w:tc>
        <w:tc>
          <w:tcPr>
            <w:tcW w:w="78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p>
        </w:tc>
        <w:tc>
          <w:tcPr>
            <w:tcW w:w="780" w:type="dxa"/>
            <w:tcBorders>
              <w:top w:val="single" w:sz="8" w:space="0" w:color="auto"/>
              <w:left w:val="single" w:sz="4" w:space="0" w:color="auto"/>
              <w:bottom w:val="single" w:sz="8" w:space="0" w:color="auto"/>
              <w:right w:val="single" w:sz="4" w:space="0" w:color="auto"/>
            </w:tcBorders>
            <w:vAlign w:val="bottom"/>
          </w:tcPr>
          <w:p w:rsidR="008E583B" w:rsidRPr="00260051" w:rsidRDefault="008E583B" w:rsidP="002F26E1">
            <w:pPr>
              <w:rPr>
                <w:b/>
                <w:bCs/>
                <w:sz w:val="16"/>
                <w:szCs w:val="16"/>
              </w:rPr>
            </w:pPr>
          </w:p>
        </w:tc>
      </w:tr>
      <w:tr w:rsidR="008E583B" w:rsidRPr="008E0A90" w:rsidTr="008E583B">
        <w:trPr>
          <w:trHeight w:hRule="exact" w:val="340"/>
        </w:trPr>
        <w:tc>
          <w:tcPr>
            <w:tcW w:w="3359" w:type="dxa"/>
            <w:tcBorders>
              <w:top w:val="single" w:sz="8" w:space="0" w:color="auto"/>
              <w:left w:val="single" w:sz="4" w:space="0" w:color="auto"/>
              <w:bottom w:val="single" w:sz="8" w:space="0" w:color="auto"/>
              <w:right w:val="single" w:sz="8" w:space="0" w:color="auto"/>
            </w:tcBorders>
            <w:shd w:val="clear" w:color="000000" w:fill="FFFF00"/>
            <w:noWrap/>
            <w:vAlign w:val="bottom"/>
            <w:hideMark/>
          </w:tcPr>
          <w:p w:rsidR="008E583B" w:rsidRPr="00260051" w:rsidRDefault="008E583B" w:rsidP="002F26E1">
            <w:pPr>
              <w:spacing w:after="0" w:line="240" w:lineRule="auto"/>
              <w:rPr>
                <w:rFonts w:eastAsia="Times New Roman" w:cs="Times New Roman"/>
                <w:b/>
                <w:bCs/>
                <w:sz w:val="20"/>
                <w:szCs w:val="20"/>
                <w:lang w:eastAsia="fr-FR"/>
              </w:rPr>
            </w:pPr>
            <w:r w:rsidRPr="00260051">
              <w:rPr>
                <w:rFonts w:eastAsia="Times New Roman" w:cs="Times New Roman"/>
                <w:b/>
                <w:bCs/>
                <w:sz w:val="20"/>
                <w:szCs w:val="20"/>
                <w:lang w:eastAsia="fr-FR"/>
              </w:rPr>
              <w:t>Le PIB hors Hydrocarbures</w:t>
            </w:r>
          </w:p>
        </w:tc>
        <w:tc>
          <w:tcPr>
            <w:tcW w:w="779" w:type="dxa"/>
            <w:tcBorders>
              <w:top w:val="single" w:sz="8" w:space="0" w:color="auto"/>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7,3</w:t>
            </w:r>
          </w:p>
        </w:tc>
        <w:tc>
          <w:tcPr>
            <w:tcW w:w="780"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5,6</w:t>
            </w:r>
          </w:p>
        </w:tc>
        <w:tc>
          <w:tcPr>
            <w:tcW w:w="779"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5,1</w:t>
            </w:r>
          </w:p>
        </w:tc>
        <w:tc>
          <w:tcPr>
            <w:tcW w:w="780"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2,2</w:t>
            </w:r>
          </w:p>
        </w:tc>
        <w:tc>
          <w:tcPr>
            <w:tcW w:w="780"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2,1</w:t>
            </w:r>
          </w:p>
        </w:tc>
        <w:tc>
          <w:tcPr>
            <w:tcW w:w="779"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3,3</w:t>
            </w:r>
          </w:p>
        </w:tc>
        <w:tc>
          <w:tcPr>
            <w:tcW w:w="780"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2,6</w:t>
            </w:r>
          </w:p>
        </w:tc>
        <w:tc>
          <w:tcPr>
            <w:tcW w:w="780" w:type="dxa"/>
            <w:tcBorders>
              <w:top w:val="single" w:sz="8" w:space="0" w:color="auto"/>
              <w:left w:val="single" w:sz="8" w:space="0" w:color="auto"/>
              <w:bottom w:val="single" w:sz="8" w:space="0" w:color="auto"/>
              <w:right w:val="single" w:sz="8" w:space="0" w:color="auto"/>
            </w:tcBorders>
            <w:shd w:val="clear" w:color="auto" w:fill="F7CAAC"/>
            <w:vAlign w:val="bottom"/>
          </w:tcPr>
          <w:p w:rsidR="008E583B" w:rsidRPr="00260051" w:rsidRDefault="008E583B" w:rsidP="002F26E1">
            <w:pPr>
              <w:jc w:val="right"/>
              <w:rPr>
                <w:b/>
                <w:bCs/>
                <w:sz w:val="16"/>
                <w:szCs w:val="16"/>
              </w:rPr>
            </w:pPr>
            <w:r w:rsidRPr="00260051">
              <w:rPr>
                <w:b/>
                <w:bCs/>
                <w:sz w:val="16"/>
                <w:szCs w:val="16"/>
              </w:rPr>
              <w:t>4,0</w:t>
            </w:r>
          </w:p>
        </w:tc>
      </w:tr>
      <w:tr w:rsidR="008E583B" w:rsidRPr="008E0A90" w:rsidTr="008E583B">
        <w:trPr>
          <w:trHeight w:hRule="exact" w:val="218"/>
        </w:trPr>
        <w:tc>
          <w:tcPr>
            <w:tcW w:w="3359" w:type="dxa"/>
            <w:tcBorders>
              <w:top w:val="nil"/>
              <w:left w:val="single" w:sz="4" w:space="0" w:color="auto"/>
              <w:bottom w:val="nil"/>
              <w:right w:val="nil"/>
            </w:tcBorders>
            <w:shd w:val="clear" w:color="auto" w:fill="auto"/>
            <w:vAlign w:val="bottom"/>
            <w:hideMark/>
          </w:tcPr>
          <w:p w:rsidR="008E583B" w:rsidRPr="00D106B9" w:rsidRDefault="008E583B" w:rsidP="002F26E1">
            <w:pPr>
              <w:spacing w:after="0" w:line="240" w:lineRule="auto"/>
              <w:rPr>
                <w:rFonts w:eastAsia="Times New Roman" w:cs="Times New Roman"/>
                <w:color w:val="000000"/>
                <w:sz w:val="20"/>
                <w:szCs w:val="20"/>
                <w:lang w:eastAsia="fr-FR"/>
              </w:rPr>
            </w:pPr>
          </w:p>
        </w:tc>
        <w:tc>
          <w:tcPr>
            <w:tcW w:w="779" w:type="dxa"/>
            <w:tcBorders>
              <w:top w:val="nil"/>
              <w:left w:val="nil"/>
              <w:bottom w:val="nil"/>
              <w:right w:val="nil"/>
            </w:tcBorders>
            <w:shd w:val="clear" w:color="auto" w:fill="auto"/>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p>
        </w:tc>
        <w:tc>
          <w:tcPr>
            <w:tcW w:w="780" w:type="dxa"/>
            <w:tcBorders>
              <w:top w:val="nil"/>
              <w:left w:val="nil"/>
              <w:bottom w:val="nil"/>
              <w:right w:val="nil"/>
            </w:tcBorders>
            <w:shd w:val="clear" w:color="auto" w:fill="auto"/>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p>
        </w:tc>
        <w:tc>
          <w:tcPr>
            <w:tcW w:w="779" w:type="dxa"/>
            <w:tcBorders>
              <w:top w:val="nil"/>
              <w:left w:val="nil"/>
              <w:bottom w:val="nil"/>
              <w:right w:val="nil"/>
            </w:tcBorders>
            <w:shd w:val="clear" w:color="auto" w:fill="auto"/>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p>
        </w:tc>
        <w:tc>
          <w:tcPr>
            <w:tcW w:w="780" w:type="dxa"/>
            <w:tcBorders>
              <w:top w:val="nil"/>
              <w:left w:val="nil"/>
              <w:bottom w:val="nil"/>
              <w:right w:val="nil"/>
            </w:tcBorders>
            <w:shd w:val="clear" w:color="auto" w:fill="auto"/>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p>
        </w:tc>
        <w:tc>
          <w:tcPr>
            <w:tcW w:w="780" w:type="dxa"/>
            <w:tcBorders>
              <w:top w:val="nil"/>
              <w:left w:val="nil"/>
              <w:bottom w:val="nil"/>
              <w:right w:val="nil"/>
            </w:tcBorders>
            <w:shd w:val="clear" w:color="auto" w:fill="auto"/>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p>
        </w:tc>
        <w:tc>
          <w:tcPr>
            <w:tcW w:w="779" w:type="dxa"/>
            <w:tcBorders>
              <w:top w:val="nil"/>
              <w:left w:val="nil"/>
              <w:bottom w:val="nil"/>
              <w:right w:val="single" w:sz="4" w:space="0" w:color="auto"/>
            </w:tcBorders>
            <w:shd w:val="clear" w:color="auto" w:fill="auto"/>
            <w:noWrap/>
            <w:vAlign w:val="bottom"/>
            <w:hideMark/>
          </w:tcPr>
          <w:p w:rsidR="008E583B" w:rsidRPr="00240BD0" w:rsidRDefault="008E583B" w:rsidP="002F26E1">
            <w:pPr>
              <w:spacing w:after="0" w:line="240" w:lineRule="auto"/>
              <w:jc w:val="center"/>
              <w:rPr>
                <w:rFonts w:eastAsia="Times New Roman" w:cs="Times New Roman"/>
                <w:sz w:val="16"/>
                <w:szCs w:val="16"/>
                <w:lang w:eastAsia="fr-FR"/>
              </w:rPr>
            </w:pPr>
          </w:p>
        </w:tc>
        <w:tc>
          <w:tcPr>
            <w:tcW w:w="78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8E583B" w:rsidRPr="00260051" w:rsidRDefault="008E583B" w:rsidP="002F26E1">
            <w:pPr>
              <w:spacing w:after="0" w:line="240" w:lineRule="auto"/>
              <w:jc w:val="center"/>
              <w:rPr>
                <w:rFonts w:eastAsia="Times New Roman" w:cs="Times New Roman"/>
                <w:sz w:val="16"/>
                <w:szCs w:val="16"/>
                <w:lang w:eastAsia="fr-FR"/>
              </w:rPr>
            </w:pPr>
          </w:p>
        </w:tc>
        <w:tc>
          <w:tcPr>
            <w:tcW w:w="780" w:type="dxa"/>
            <w:tcBorders>
              <w:top w:val="single" w:sz="8" w:space="0" w:color="auto"/>
              <w:left w:val="single" w:sz="4" w:space="0" w:color="auto"/>
              <w:bottom w:val="single" w:sz="8" w:space="0" w:color="auto"/>
              <w:right w:val="single" w:sz="4" w:space="0" w:color="auto"/>
            </w:tcBorders>
            <w:vAlign w:val="bottom"/>
          </w:tcPr>
          <w:p w:rsidR="008E583B" w:rsidRPr="00260051" w:rsidRDefault="008E583B" w:rsidP="002F26E1">
            <w:pPr>
              <w:rPr>
                <w:sz w:val="16"/>
                <w:szCs w:val="16"/>
              </w:rPr>
            </w:pPr>
          </w:p>
        </w:tc>
      </w:tr>
      <w:tr w:rsidR="008E583B" w:rsidRPr="008E0A90" w:rsidTr="008E583B">
        <w:trPr>
          <w:trHeight w:hRule="exact" w:val="340"/>
        </w:trPr>
        <w:tc>
          <w:tcPr>
            <w:tcW w:w="3359" w:type="dxa"/>
            <w:tcBorders>
              <w:top w:val="single" w:sz="8" w:space="0" w:color="auto"/>
              <w:left w:val="single" w:sz="4" w:space="0" w:color="auto"/>
              <w:bottom w:val="single" w:sz="4" w:space="0" w:color="auto"/>
              <w:right w:val="single" w:sz="8" w:space="0" w:color="auto"/>
            </w:tcBorders>
            <w:shd w:val="clear" w:color="000000" w:fill="FFFF00"/>
            <w:noWrap/>
            <w:vAlign w:val="bottom"/>
            <w:hideMark/>
          </w:tcPr>
          <w:p w:rsidR="008E583B" w:rsidRPr="00260051" w:rsidRDefault="008E583B" w:rsidP="002F26E1">
            <w:pPr>
              <w:spacing w:after="0" w:line="240" w:lineRule="auto"/>
              <w:rPr>
                <w:rFonts w:eastAsia="Times New Roman" w:cs="Times New Roman"/>
                <w:b/>
                <w:bCs/>
                <w:sz w:val="20"/>
                <w:szCs w:val="20"/>
                <w:lang w:eastAsia="fr-FR"/>
              </w:rPr>
            </w:pPr>
            <w:r w:rsidRPr="00260051">
              <w:rPr>
                <w:rFonts w:eastAsia="Times New Roman" w:cs="Times New Roman"/>
                <w:b/>
                <w:bCs/>
                <w:sz w:val="20"/>
                <w:szCs w:val="20"/>
                <w:lang w:eastAsia="fr-FR"/>
              </w:rPr>
              <w:t>Le PIB hors Agriculture</w:t>
            </w:r>
          </w:p>
        </w:tc>
        <w:tc>
          <w:tcPr>
            <w:tcW w:w="779" w:type="dxa"/>
            <w:tcBorders>
              <w:top w:val="single" w:sz="8" w:space="0" w:color="auto"/>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2,2</w:t>
            </w:r>
          </w:p>
        </w:tc>
        <w:tc>
          <w:tcPr>
            <w:tcW w:w="780"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3,9</w:t>
            </w:r>
          </w:p>
        </w:tc>
        <w:tc>
          <w:tcPr>
            <w:tcW w:w="779"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3,5</w:t>
            </w:r>
          </w:p>
        </w:tc>
        <w:tc>
          <w:tcPr>
            <w:tcW w:w="780"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3,4</w:t>
            </w:r>
          </w:p>
        </w:tc>
        <w:tc>
          <w:tcPr>
            <w:tcW w:w="780"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1,3</w:t>
            </w:r>
          </w:p>
        </w:tc>
        <w:tc>
          <w:tcPr>
            <w:tcW w:w="779"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0,9</w:t>
            </w:r>
          </w:p>
        </w:tc>
        <w:tc>
          <w:tcPr>
            <w:tcW w:w="780"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center"/>
              <w:rPr>
                <w:rFonts w:eastAsia="Times New Roman" w:cs="Times New Roman"/>
                <w:b/>
                <w:bCs/>
                <w:sz w:val="16"/>
                <w:szCs w:val="16"/>
                <w:lang w:eastAsia="fr-FR"/>
              </w:rPr>
            </w:pPr>
            <w:r w:rsidRPr="00260051">
              <w:rPr>
                <w:rFonts w:eastAsia="Times New Roman" w:cs="Times New Roman"/>
                <w:b/>
                <w:bCs/>
                <w:sz w:val="16"/>
                <w:szCs w:val="16"/>
                <w:lang w:eastAsia="fr-FR"/>
              </w:rPr>
              <w:t>1,0</w:t>
            </w:r>
          </w:p>
        </w:tc>
        <w:tc>
          <w:tcPr>
            <w:tcW w:w="780" w:type="dxa"/>
            <w:tcBorders>
              <w:top w:val="single" w:sz="8" w:space="0" w:color="auto"/>
              <w:left w:val="single" w:sz="8" w:space="0" w:color="auto"/>
              <w:bottom w:val="single" w:sz="8" w:space="0" w:color="auto"/>
              <w:right w:val="single" w:sz="8" w:space="0" w:color="auto"/>
            </w:tcBorders>
            <w:shd w:val="clear" w:color="auto" w:fill="F7CAAC"/>
            <w:vAlign w:val="bottom"/>
          </w:tcPr>
          <w:p w:rsidR="008E583B" w:rsidRPr="00260051" w:rsidRDefault="008E583B" w:rsidP="002F26E1">
            <w:pPr>
              <w:jc w:val="right"/>
              <w:rPr>
                <w:b/>
                <w:bCs/>
                <w:sz w:val="16"/>
                <w:szCs w:val="16"/>
              </w:rPr>
            </w:pPr>
            <w:r w:rsidRPr="00260051">
              <w:rPr>
                <w:b/>
                <w:bCs/>
                <w:sz w:val="16"/>
                <w:szCs w:val="16"/>
              </w:rPr>
              <w:t>2,3</w:t>
            </w:r>
          </w:p>
        </w:tc>
      </w:tr>
    </w:tbl>
    <w:p w:rsidR="008E583B" w:rsidRPr="00260051" w:rsidRDefault="008E583B" w:rsidP="008E583B">
      <w:pPr>
        <w:jc w:val="both"/>
        <w:rPr>
          <w:sz w:val="20"/>
          <w:szCs w:val="20"/>
        </w:rPr>
      </w:pPr>
      <w:r w:rsidRPr="00260051">
        <w:rPr>
          <w:sz w:val="20"/>
          <w:szCs w:val="20"/>
        </w:rPr>
        <w:t>Source : Office National des Statistiques (ONS)</w:t>
      </w:r>
      <w:r>
        <w:rPr>
          <w:sz w:val="20"/>
          <w:szCs w:val="20"/>
        </w:rPr>
        <w:t>.</w:t>
      </w:r>
    </w:p>
    <w:p w:rsidR="004C23B6" w:rsidRDefault="004C23B6" w:rsidP="008E583B">
      <w:pPr>
        <w:jc w:val="center"/>
        <w:rPr>
          <w:b/>
          <w:bCs/>
        </w:rPr>
      </w:pPr>
    </w:p>
    <w:p w:rsidR="008E583B" w:rsidRPr="00284029" w:rsidRDefault="008E583B" w:rsidP="008E583B">
      <w:pPr>
        <w:jc w:val="center"/>
        <w:rPr>
          <w:b/>
          <w:bCs/>
        </w:rPr>
      </w:pPr>
      <w:r w:rsidRPr="00284029">
        <w:rPr>
          <w:b/>
          <w:bCs/>
        </w:rPr>
        <w:t xml:space="preserve">Tab N°3 – Croissance (%) des composantes de la dépense du Produit Intérieur Brut (PIB) </w:t>
      </w:r>
    </w:p>
    <w:tbl>
      <w:tblPr>
        <w:tblW w:w="9600" w:type="dxa"/>
        <w:tblInd w:w="-170" w:type="dxa"/>
        <w:tblLayout w:type="fixed"/>
        <w:tblCellMar>
          <w:left w:w="70" w:type="dxa"/>
          <w:right w:w="70" w:type="dxa"/>
        </w:tblCellMar>
        <w:tblLook w:val="04A0" w:firstRow="1" w:lastRow="0" w:firstColumn="1" w:lastColumn="0" w:noHBand="0" w:noVBand="1"/>
      </w:tblPr>
      <w:tblGrid>
        <w:gridCol w:w="3642"/>
        <w:gridCol w:w="744"/>
        <w:gridCol w:w="745"/>
        <w:gridCol w:w="745"/>
        <w:gridCol w:w="745"/>
        <w:gridCol w:w="744"/>
        <w:gridCol w:w="745"/>
        <w:gridCol w:w="745"/>
        <w:gridCol w:w="745"/>
      </w:tblGrid>
      <w:tr w:rsidR="008E583B" w:rsidRPr="008E0A90" w:rsidTr="008E583B">
        <w:trPr>
          <w:trHeight w:val="270"/>
        </w:trPr>
        <w:tc>
          <w:tcPr>
            <w:tcW w:w="3642" w:type="dxa"/>
            <w:tcBorders>
              <w:top w:val="nil"/>
              <w:left w:val="nil"/>
              <w:bottom w:val="nil"/>
              <w:right w:val="single" w:sz="8" w:space="0" w:color="auto"/>
            </w:tcBorders>
            <w:shd w:val="clear" w:color="auto" w:fill="auto"/>
            <w:noWrap/>
            <w:vAlign w:val="bottom"/>
            <w:hideMark/>
          </w:tcPr>
          <w:p w:rsidR="008E583B" w:rsidRPr="00E42C73" w:rsidRDefault="008E583B" w:rsidP="002F26E1">
            <w:pPr>
              <w:spacing w:after="0" w:line="240" w:lineRule="auto"/>
              <w:rPr>
                <w:rFonts w:eastAsia="Times New Roman" w:cs="Times New Roman"/>
                <w:sz w:val="20"/>
                <w:szCs w:val="20"/>
                <w:lang w:eastAsia="fr-FR"/>
              </w:rPr>
            </w:pPr>
          </w:p>
        </w:tc>
        <w:tc>
          <w:tcPr>
            <w:tcW w:w="744" w:type="dxa"/>
            <w:tcBorders>
              <w:top w:val="single" w:sz="8" w:space="0" w:color="auto"/>
              <w:left w:val="single" w:sz="8" w:space="0" w:color="auto"/>
              <w:bottom w:val="single" w:sz="8" w:space="0" w:color="auto"/>
              <w:right w:val="single" w:sz="8" w:space="0" w:color="auto"/>
            </w:tcBorders>
            <w:shd w:val="clear" w:color="auto" w:fill="FFFF00"/>
            <w:noWrap/>
            <w:vAlign w:val="bottom"/>
            <w:hideMark/>
          </w:tcPr>
          <w:p w:rsidR="008E583B" w:rsidRPr="00E42C73" w:rsidRDefault="008E583B" w:rsidP="002F26E1">
            <w:pPr>
              <w:spacing w:after="0" w:line="240" w:lineRule="auto"/>
              <w:jc w:val="center"/>
              <w:rPr>
                <w:rFonts w:eastAsia="Times New Roman" w:cs="Times New Roman"/>
                <w:sz w:val="20"/>
                <w:szCs w:val="20"/>
                <w:lang w:eastAsia="fr-FR"/>
              </w:rPr>
            </w:pPr>
            <w:r w:rsidRPr="00E42C73">
              <w:rPr>
                <w:rFonts w:eastAsia="Times New Roman" w:cs="Times New Roman"/>
                <w:sz w:val="20"/>
                <w:szCs w:val="20"/>
                <w:lang w:eastAsia="fr-FR"/>
              </w:rPr>
              <w:t>2013</w:t>
            </w:r>
          </w:p>
        </w:tc>
        <w:tc>
          <w:tcPr>
            <w:tcW w:w="745" w:type="dxa"/>
            <w:tcBorders>
              <w:top w:val="single" w:sz="8" w:space="0" w:color="auto"/>
              <w:left w:val="nil"/>
              <w:bottom w:val="single" w:sz="8" w:space="0" w:color="auto"/>
              <w:right w:val="single" w:sz="8" w:space="0" w:color="auto"/>
            </w:tcBorders>
            <w:shd w:val="clear" w:color="auto" w:fill="FFFF00"/>
            <w:noWrap/>
            <w:vAlign w:val="bottom"/>
            <w:hideMark/>
          </w:tcPr>
          <w:p w:rsidR="008E583B" w:rsidRPr="00E42C73" w:rsidRDefault="008E583B" w:rsidP="002F26E1">
            <w:pPr>
              <w:spacing w:after="0" w:line="240" w:lineRule="auto"/>
              <w:jc w:val="center"/>
              <w:rPr>
                <w:rFonts w:eastAsia="Times New Roman" w:cs="Times New Roman"/>
                <w:sz w:val="20"/>
                <w:szCs w:val="20"/>
                <w:lang w:eastAsia="fr-FR"/>
              </w:rPr>
            </w:pPr>
            <w:r w:rsidRPr="00E42C73">
              <w:rPr>
                <w:rFonts w:eastAsia="Times New Roman" w:cs="Times New Roman"/>
                <w:sz w:val="20"/>
                <w:szCs w:val="20"/>
                <w:lang w:eastAsia="fr-FR"/>
              </w:rPr>
              <w:t>2014</w:t>
            </w:r>
          </w:p>
        </w:tc>
        <w:tc>
          <w:tcPr>
            <w:tcW w:w="745" w:type="dxa"/>
            <w:tcBorders>
              <w:top w:val="single" w:sz="8" w:space="0" w:color="auto"/>
              <w:left w:val="nil"/>
              <w:bottom w:val="single" w:sz="8" w:space="0" w:color="auto"/>
              <w:right w:val="single" w:sz="8" w:space="0" w:color="auto"/>
            </w:tcBorders>
            <w:shd w:val="clear" w:color="auto" w:fill="FFFF00"/>
            <w:noWrap/>
            <w:vAlign w:val="bottom"/>
            <w:hideMark/>
          </w:tcPr>
          <w:p w:rsidR="008E583B" w:rsidRPr="00E42C73" w:rsidRDefault="008E583B" w:rsidP="002F26E1">
            <w:pPr>
              <w:spacing w:after="0" w:line="240" w:lineRule="auto"/>
              <w:jc w:val="center"/>
              <w:rPr>
                <w:rFonts w:eastAsia="Times New Roman" w:cs="Times New Roman"/>
                <w:sz w:val="20"/>
                <w:szCs w:val="20"/>
                <w:lang w:eastAsia="fr-FR"/>
              </w:rPr>
            </w:pPr>
            <w:r w:rsidRPr="00E42C73">
              <w:rPr>
                <w:rFonts w:eastAsia="Times New Roman" w:cs="Times New Roman"/>
                <w:sz w:val="20"/>
                <w:szCs w:val="20"/>
                <w:lang w:eastAsia="fr-FR"/>
              </w:rPr>
              <w:t>2015</w:t>
            </w:r>
          </w:p>
        </w:tc>
        <w:tc>
          <w:tcPr>
            <w:tcW w:w="745" w:type="dxa"/>
            <w:tcBorders>
              <w:top w:val="single" w:sz="8" w:space="0" w:color="auto"/>
              <w:left w:val="nil"/>
              <w:bottom w:val="single" w:sz="8" w:space="0" w:color="auto"/>
              <w:right w:val="single" w:sz="8" w:space="0" w:color="auto"/>
            </w:tcBorders>
            <w:shd w:val="clear" w:color="auto" w:fill="FFFF00"/>
            <w:noWrap/>
            <w:vAlign w:val="bottom"/>
            <w:hideMark/>
          </w:tcPr>
          <w:p w:rsidR="008E583B" w:rsidRPr="00E42C73" w:rsidRDefault="008E583B" w:rsidP="002F26E1">
            <w:pPr>
              <w:spacing w:after="0" w:line="240" w:lineRule="auto"/>
              <w:jc w:val="center"/>
              <w:rPr>
                <w:rFonts w:eastAsia="Times New Roman" w:cs="Times New Roman"/>
                <w:sz w:val="20"/>
                <w:szCs w:val="20"/>
                <w:lang w:eastAsia="fr-FR"/>
              </w:rPr>
            </w:pPr>
            <w:r w:rsidRPr="00E42C73">
              <w:rPr>
                <w:rFonts w:eastAsia="Times New Roman" w:cs="Times New Roman"/>
                <w:sz w:val="20"/>
                <w:szCs w:val="20"/>
                <w:lang w:eastAsia="fr-FR"/>
              </w:rPr>
              <w:t>2016</w:t>
            </w:r>
          </w:p>
        </w:tc>
        <w:tc>
          <w:tcPr>
            <w:tcW w:w="744" w:type="dxa"/>
            <w:tcBorders>
              <w:top w:val="single" w:sz="8" w:space="0" w:color="auto"/>
              <w:left w:val="nil"/>
              <w:bottom w:val="single" w:sz="8" w:space="0" w:color="auto"/>
              <w:right w:val="single" w:sz="8" w:space="0" w:color="auto"/>
            </w:tcBorders>
            <w:shd w:val="clear" w:color="auto" w:fill="FFFF00"/>
            <w:noWrap/>
            <w:vAlign w:val="bottom"/>
            <w:hideMark/>
          </w:tcPr>
          <w:p w:rsidR="008E583B" w:rsidRPr="00E42C73" w:rsidRDefault="008E583B" w:rsidP="002F26E1">
            <w:pPr>
              <w:spacing w:after="0" w:line="240" w:lineRule="auto"/>
              <w:jc w:val="center"/>
              <w:rPr>
                <w:rFonts w:eastAsia="Times New Roman" w:cs="Times New Roman"/>
                <w:sz w:val="20"/>
                <w:szCs w:val="20"/>
                <w:lang w:eastAsia="fr-FR"/>
              </w:rPr>
            </w:pPr>
            <w:r w:rsidRPr="00E42C73">
              <w:rPr>
                <w:rFonts w:eastAsia="Times New Roman" w:cs="Times New Roman"/>
                <w:sz w:val="20"/>
                <w:szCs w:val="20"/>
                <w:lang w:eastAsia="fr-FR"/>
              </w:rPr>
              <w:t>2017</w:t>
            </w:r>
          </w:p>
        </w:tc>
        <w:tc>
          <w:tcPr>
            <w:tcW w:w="745" w:type="dxa"/>
            <w:tcBorders>
              <w:top w:val="single" w:sz="8" w:space="0" w:color="auto"/>
              <w:left w:val="nil"/>
              <w:bottom w:val="single" w:sz="8" w:space="0" w:color="auto"/>
              <w:right w:val="single" w:sz="8" w:space="0" w:color="auto"/>
            </w:tcBorders>
            <w:shd w:val="clear" w:color="auto" w:fill="FFFF00"/>
            <w:noWrap/>
            <w:vAlign w:val="bottom"/>
            <w:hideMark/>
          </w:tcPr>
          <w:p w:rsidR="008E583B" w:rsidRPr="00E42C73" w:rsidRDefault="008E583B" w:rsidP="002F26E1">
            <w:pPr>
              <w:spacing w:after="0" w:line="240" w:lineRule="auto"/>
              <w:jc w:val="center"/>
              <w:rPr>
                <w:rFonts w:eastAsia="Times New Roman" w:cs="Times New Roman"/>
                <w:sz w:val="20"/>
                <w:szCs w:val="20"/>
                <w:lang w:eastAsia="fr-FR"/>
              </w:rPr>
            </w:pPr>
            <w:r w:rsidRPr="00E42C73">
              <w:rPr>
                <w:rFonts w:eastAsia="Times New Roman" w:cs="Times New Roman"/>
                <w:sz w:val="20"/>
                <w:szCs w:val="20"/>
                <w:lang w:eastAsia="fr-FR"/>
              </w:rPr>
              <w:t>2018</w:t>
            </w:r>
          </w:p>
        </w:tc>
        <w:tc>
          <w:tcPr>
            <w:tcW w:w="745" w:type="dxa"/>
            <w:tcBorders>
              <w:top w:val="single" w:sz="8" w:space="0" w:color="auto"/>
              <w:left w:val="nil"/>
              <w:bottom w:val="single" w:sz="8" w:space="0" w:color="auto"/>
              <w:right w:val="single" w:sz="8" w:space="0" w:color="auto"/>
            </w:tcBorders>
            <w:shd w:val="clear" w:color="auto" w:fill="FFFF00"/>
            <w:noWrap/>
            <w:hideMark/>
          </w:tcPr>
          <w:p w:rsidR="008E583B" w:rsidRPr="008E583B" w:rsidRDefault="008E583B" w:rsidP="002F26E1">
            <w:pPr>
              <w:spacing w:after="0" w:line="240" w:lineRule="auto"/>
              <w:jc w:val="center"/>
              <w:rPr>
                <w:rFonts w:eastAsia="Times New Roman" w:cs="Times New Roman"/>
                <w:sz w:val="16"/>
                <w:szCs w:val="16"/>
                <w:lang w:eastAsia="fr-FR"/>
              </w:rPr>
            </w:pPr>
            <w:r w:rsidRPr="008E583B">
              <w:rPr>
                <w:rFonts w:eastAsia="Times New Roman" w:cs="Times New Roman"/>
                <w:sz w:val="16"/>
                <w:szCs w:val="16"/>
                <w:lang w:eastAsia="fr-FR"/>
              </w:rPr>
              <w:t>9M2019</w:t>
            </w:r>
          </w:p>
        </w:tc>
        <w:tc>
          <w:tcPr>
            <w:tcW w:w="745" w:type="dxa"/>
            <w:tcBorders>
              <w:top w:val="single" w:sz="8" w:space="0" w:color="auto"/>
              <w:left w:val="single" w:sz="8" w:space="0" w:color="auto"/>
              <w:bottom w:val="single" w:sz="8" w:space="0" w:color="auto"/>
              <w:right w:val="single" w:sz="8" w:space="0" w:color="auto"/>
            </w:tcBorders>
            <w:shd w:val="clear" w:color="auto" w:fill="FFFF00"/>
            <w:noWrap/>
            <w:hideMark/>
          </w:tcPr>
          <w:p w:rsidR="008E583B" w:rsidRPr="008E583B" w:rsidRDefault="008E583B" w:rsidP="002F26E1">
            <w:pPr>
              <w:spacing w:after="0" w:line="240" w:lineRule="auto"/>
              <w:jc w:val="center"/>
              <w:rPr>
                <w:rFonts w:eastAsia="Times New Roman" w:cs="Times New Roman"/>
                <w:sz w:val="16"/>
                <w:szCs w:val="16"/>
                <w:lang w:eastAsia="fr-FR"/>
              </w:rPr>
            </w:pPr>
            <w:r w:rsidRPr="008E583B">
              <w:rPr>
                <w:rFonts w:eastAsia="Times New Roman" w:cs="Times New Roman"/>
                <w:sz w:val="16"/>
                <w:szCs w:val="16"/>
                <w:lang w:eastAsia="fr-FR"/>
              </w:rPr>
              <w:t>Moy</w:t>
            </w:r>
          </w:p>
        </w:tc>
      </w:tr>
      <w:tr w:rsidR="008E583B" w:rsidRPr="008E0A90" w:rsidTr="008E583B">
        <w:trPr>
          <w:trHeight w:val="270"/>
        </w:trPr>
        <w:tc>
          <w:tcPr>
            <w:tcW w:w="3642" w:type="dxa"/>
            <w:tcBorders>
              <w:top w:val="single" w:sz="4" w:space="0" w:color="auto"/>
              <w:left w:val="single" w:sz="4" w:space="0" w:color="auto"/>
              <w:bottom w:val="single" w:sz="4" w:space="0" w:color="auto"/>
              <w:right w:val="nil"/>
            </w:tcBorders>
            <w:shd w:val="clear" w:color="000000" w:fill="FFFF00"/>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Le PIB</w:t>
            </w:r>
          </w:p>
        </w:tc>
        <w:tc>
          <w:tcPr>
            <w:tcW w:w="744" w:type="dxa"/>
            <w:tcBorders>
              <w:top w:val="nil"/>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2,8</w:t>
            </w:r>
          </w:p>
        </w:tc>
        <w:tc>
          <w:tcPr>
            <w:tcW w:w="745" w:type="dxa"/>
            <w:tcBorders>
              <w:top w:val="nil"/>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3,8</w:t>
            </w:r>
          </w:p>
        </w:tc>
        <w:tc>
          <w:tcPr>
            <w:tcW w:w="745" w:type="dxa"/>
            <w:tcBorders>
              <w:top w:val="nil"/>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3,7</w:t>
            </w:r>
          </w:p>
        </w:tc>
        <w:tc>
          <w:tcPr>
            <w:tcW w:w="745" w:type="dxa"/>
            <w:tcBorders>
              <w:top w:val="nil"/>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3,2</w:t>
            </w:r>
          </w:p>
        </w:tc>
        <w:tc>
          <w:tcPr>
            <w:tcW w:w="744" w:type="dxa"/>
            <w:tcBorders>
              <w:top w:val="nil"/>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1,3</w:t>
            </w:r>
          </w:p>
        </w:tc>
        <w:tc>
          <w:tcPr>
            <w:tcW w:w="745" w:type="dxa"/>
            <w:tcBorders>
              <w:top w:val="nil"/>
              <w:left w:val="single" w:sz="8" w:space="0" w:color="auto"/>
              <w:bottom w:val="nil"/>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1,4</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0,9</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2,4</w:t>
            </w:r>
          </w:p>
        </w:tc>
      </w:tr>
      <w:tr w:rsidR="008E583B" w:rsidRPr="008E0A90" w:rsidTr="008E583B">
        <w:trPr>
          <w:trHeight w:val="270"/>
        </w:trPr>
        <w:tc>
          <w:tcPr>
            <w:tcW w:w="3642" w:type="dxa"/>
            <w:tcBorders>
              <w:top w:val="nil"/>
              <w:left w:val="single" w:sz="4" w:space="0" w:color="auto"/>
              <w:bottom w:val="nil"/>
              <w:right w:val="nil"/>
            </w:tcBorders>
            <w:shd w:val="clear" w:color="000000" w:fill="FFFF00"/>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Importations</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9,8</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8,4</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6,9</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-2,8</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-7,1</w:t>
            </w:r>
          </w:p>
        </w:tc>
        <w:tc>
          <w:tcPr>
            <w:tcW w:w="745" w:type="dxa"/>
            <w:tcBorders>
              <w:top w:val="single" w:sz="8" w:space="0" w:color="auto"/>
              <w:left w:val="single" w:sz="8" w:space="0" w:color="auto"/>
              <w:bottom w:val="nil"/>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-3,6</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-2,0</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1,4</w:t>
            </w:r>
          </w:p>
        </w:tc>
      </w:tr>
      <w:tr w:rsidR="008E583B" w:rsidRPr="008E0A90" w:rsidTr="008E583B">
        <w:trPr>
          <w:trHeight w:val="270"/>
        </w:trPr>
        <w:tc>
          <w:tcPr>
            <w:tcW w:w="3642" w:type="dxa"/>
            <w:tcBorders>
              <w:top w:val="nil"/>
              <w:left w:val="single" w:sz="4" w:space="0" w:color="auto"/>
              <w:bottom w:val="nil"/>
              <w:right w:val="nil"/>
            </w:tcBorders>
            <w:shd w:val="clear" w:color="000000" w:fill="FFFF00"/>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xml:space="preserve">     Importations biens</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10,4</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8,7</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7,1</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-3,8</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-8,6</w:t>
            </w:r>
          </w:p>
        </w:tc>
        <w:tc>
          <w:tcPr>
            <w:tcW w:w="745" w:type="dxa"/>
            <w:tcBorders>
              <w:top w:val="single" w:sz="8" w:space="0" w:color="auto"/>
              <w:left w:val="single" w:sz="8" w:space="0" w:color="auto"/>
              <w:bottom w:val="nil"/>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-5,1</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-2,9</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0,8</w:t>
            </w:r>
          </w:p>
        </w:tc>
      </w:tr>
      <w:tr w:rsidR="008E583B" w:rsidRPr="008E0A90" w:rsidTr="008E583B">
        <w:trPr>
          <w:trHeight w:val="270"/>
        </w:trPr>
        <w:tc>
          <w:tcPr>
            <w:tcW w:w="3642" w:type="dxa"/>
            <w:tcBorders>
              <w:top w:val="nil"/>
              <w:left w:val="single" w:sz="4" w:space="0" w:color="auto"/>
              <w:bottom w:val="nil"/>
              <w:right w:val="nil"/>
            </w:tcBorders>
            <w:shd w:val="clear" w:color="000000" w:fill="FFFF00"/>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xml:space="preserve">     Importations Services</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6,1</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6,8</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5,4</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3,1</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1,3</w:t>
            </w:r>
          </w:p>
        </w:tc>
        <w:tc>
          <w:tcPr>
            <w:tcW w:w="745" w:type="dxa"/>
            <w:tcBorders>
              <w:top w:val="single" w:sz="8" w:space="0" w:color="auto"/>
              <w:left w:val="single" w:sz="8" w:space="0" w:color="auto"/>
              <w:bottom w:val="nil"/>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4,0</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2,7</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4,2</w:t>
            </w:r>
          </w:p>
        </w:tc>
      </w:tr>
      <w:tr w:rsidR="008E583B" w:rsidRPr="008E0A90" w:rsidTr="008E583B">
        <w:trPr>
          <w:trHeight w:val="270"/>
        </w:trPr>
        <w:tc>
          <w:tcPr>
            <w:tcW w:w="3642" w:type="dxa"/>
            <w:tcBorders>
              <w:top w:val="single" w:sz="4" w:space="0" w:color="auto"/>
              <w:left w:val="single" w:sz="4" w:space="0" w:color="auto"/>
              <w:bottom w:val="single" w:sz="4" w:space="0" w:color="auto"/>
              <w:right w:val="nil"/>
            </w:tcBorders>
            <w:shd w:val="clear" w:color="000000" w:fill="FFC000"/>
            <w:noWrap/>
            <w:vAlign w:val="bottom"/>
            <w:hideMark/>
          </w:tcPr>
          <w:p w:rsidR="008E583B" w:rsidRPr="00E42C73" w:rsidRDefault="008E583B" w:rsidP="002F26E1">
            <w:pPr>
              <w:spacing w:after="0" w:line="240" w:lineRule="auto"/>
              <w:rPr>
                <w:rFonts w:eastAsia="Times New Roman" w:cs="Times New Roman"/>
                <w:b/>
                <w:bCs/>
                <w:sz w:val="20"/>
                <w:szCs w:val="20"/>
                <w:lang w:eastAsia="fr-FR"/>
              </w:rPr>
            </w:pPr>
            <w:r w:rsidRPr="00E42C73">
              <w:rPr>
                <w:rFonts w:eastAsia="Times New Roman" w:cs="Times New Roman"/>
                <w:b/>
                <w:bCs/>
                <w:sz w:val="20"/>
                <w:szCs w:val="20"/>
                <w:lang w:eastAsia="fr-FR"/>
              </w:rPr>
              <w:t>Total Ressources</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b/>
                <w:bCs/>
                <w:sz w:val="20"/>
                <w:szCs w:val="20"/>
                <w:lang w:eastAsia="fr-FR"/>
              </w:rPr>
            </w:pPr>
            <w:r w:rsidRPr="00E42C73">
              <w:rPr>
                <w:rFonts w:eastAsia="Times New Roman" w:cs="Times New Roman"/>
                <w:b/>
                <w:bCs/>
                <w:sz w:val="20"/>
                <w:szCs w:val="20"/>
                <w:lang w:eastAsia="fr-FR"/>
              </w:rPr>
              <w:t>4,3</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b/>
                <w:bCs/>
                <w:sz w:val="20"/>
                <w:szCs w:val="20"/>
                <w:lang w:eastAsia="fr-FR"/>
              </w:rPr>
            </w:pPr>
            <w:r w:rsidRPr="00E42C73">
              <w:rPr>
                <w:rFonts w:eastAsia="Times New Roman" w:cs="Times New Roman"/>
                <w:b/>
                <w:bCs/>
                <w:sz w:val="20"/>
                <w:szCs w:val="20"/>
                <w:lang w:eastAsia="fr-FR"/>
              </w:rPr>
              <w:t>4,9</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b/>
                <w:bCs/>
                <w:sz w:val="20"/>
                <w:szCs w:val="20"/>
                <w:lang w:eastAsia="fr-FR"/>
              </w:rPr>
            </w:pPr>
            <w:r w:rsidRPr="00E42C73">
              <w:rPr>
                <w:rFonts w:eastAsia="Times New Roman" w:cs="Times New Roman"/>
                <w:b/>
                <w:bCs/>
                <w:sz w:val="20"/>
                <w:szCs w:val="20"/>
                <w:lang w:eastAsia="fr-FR"/>
              </w:rPr>
              <w:t>4,5</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b/>
                <w:bCs/>
                <w:sz w:val="20"/>
                <w:szCs w:val="20"/>
                <w:lang w:eastAsia="fr-FR"/>
              </w:rPr>
            </w:pPr>
            <w:r w:rsidRPr="00E42C73">
              <w:rPr>
                <w:rFonts w:eastAsia="Times New Roman" w:cs="Times New Roman"/>
                <w:b/>
                <w:bCs/>
                <w:sz w:val="20"/>
                <w:szCs w:val="20"/>
                <w:lang w:eastAsia="fr-FR"/>
              </w:rPr>
              <w:t>1,6</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b/>
                <w:bCs/>
                <w:sz w:val="20"/>
                <w:szCs w:val="20"/>
                <w:lang w:eastAsia="fr-FR"/>
              </w:rPr>
            </w:pPr>
            <w:r w:rsidRPr="00E42C73">
              <w:rPr>
                <w:rFonts w:eastAsia="Times New Roman" w:cs="Times New Roman"/>
                <w:b/>
                <w:bCs/>
                <w:sz w:val="20"/>
                <w:szCs w:val="20"/>
                <w:lang w:eastAsia="fr-FR"/>
              </w:rPr>
              <w:t>-0,9</w:t>
            </w:r>
          </w:p>
        </w:tc>
        <w:tc>
          <w:tcPr>
            <w:tcW w:w="745" w:type="dxa"/>
            <w:tcBorders>
              <w:top w:val="single" w:sz="8" w:space="0" w:color="auto"/>
              <w:left w:val="single" w:sz="8" w:space="0" w:color="auto"/>
              <w:bottom w:val="nil"/>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b/>
                <w:bCs/>
                <w:sz w:val="20"/>
                <w:szCs w:val="20"/>
                <w:lang w:eastAsia="fr-FR"/>
              </w:rPr>
            </w:pPr>
            <w:r w:rsidRPr="00E42C73">
              <w:rPr>
                <w:rFonts w:eastAsia="Times New Roman" w:cs="Times New Roman"/>
                <w:b/>
                <w:bCs/>
                <w:sz w:val="20"/>
                <w:szCs w:val="20"/>
                <w:lang w:eastAsia="fr-FR"/>
              </w:rPr>
              <w:t>0,1</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0,2</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2,1</w:t>
            </w:r>
          </w:p>
        </w:tc>
      </w:tr>
      <w:tr w:rsidR="008E583B" w:rsidRPr="008E0A90" w:rsidTr="008E583B">
        <w:trPr>
          <w:trHeight w:val="270"/>
        </w:trPr>
        <w:tc>
          <w:tcPr>
            <w:tcW w:w="3642" w:type="dxa"/>
            <w:tcBorders>
              <w:top w:val="nil"/>
              <w:left w:val="single" w:sz="4" w:space="0" w:color="auto"/>
              <w:bottom w:val="single" w:sz="4" w:space="0" w:color="auto"/>
              <w:right w:val="nil"/>
            </w:tcBorders>
            <w:shd w:val="clear" w:color="000000" w:fill="FFFF00"/>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Dépense intérieure Brute</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8,3</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6,4</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5,7</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0,5</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0,1</w:t>
            </w:r>
          </w:p>
        </w:tc>
        <w:tc>
          <w:tcPr>
            <w:tcW w:w="745" w:type="dxa"/>
            <w:tcBorders>
              <w:top w:val="single" w:sz="8" w:space="0" w:color="auto"/>
              <w:left w:val="single" w:sz="8" w:space="0" w:color="auto"/>
              <w:bottom w:val="nil"/>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1,0</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1,4</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3,3</w:t>
            </w:r>
          </w:p>
        </w:tc>
      </w:tr>
      <w:tr w:rsidR="008E583B" w:rsidRPr="008E0A90" w:rsidTr="008E583B">
        <w:trPr>
          <w:trHeight w:val="270"/>
        </w:trPr>
        <w:tc>
          <w:tcPr>
            <w:tcW w:w="3642" w:type="dxa"/>
            <w:tcBorders>
              <w:top w:val="nil"/>
              <w:left w:val="single" w:sz="4" w:space="0" w:color="auto"/>
              <w:bottom w:val="nil"/>
              <w:right w:val="nil"/>
            </w:tcBorders>
            <w:shd w:val="clear" w:color="000000" w:fill="FFFF00"/>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Consommation Finale</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3,4</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3,2</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3,6</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2,6</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2,2</w:t>
            </w:r>
          </w:p>
        </w:tc>
        <w:tc>
          <w:tcPr>
            <w:tcW w:w="745" w:type="dxa"/>
            <w:tcBorders>
              <w:top w:val="single" w:sz="8" w:space="0" w:color="auto"/>
              <w:left w:val="single" w:sz="8" w:space="0" w:color="auto"/>
              <w:bottom w:val="nil"/>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2,7</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1,5</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2,7</w:t>
            </w:r>
          </w:p>
        </w:tc>
      </w:tr>
      <w:tr w:rsidR="008E583B" w:rsidRPr="008E0A90" w:rsidTr="008E583B">
        <w:trPr>
          <w:trHeight w:val="270"/>
        </w:trPr>
        <w:tc>
          <w:tcPr>
            <w:tcW w:w="3642" w:type="dxa"/>
            <w:tcBorders>
              <w:top w:val="single" w:sz="8" w:space="0" w:color="auto"/>
              <w:left w:val="single" w:sz="8" w:space="0" w:color="auto"/>
              <w:bottom w:val="single" w:sz="8" w:space="0" w:color="auto"/>
              <w:right w:val="nil"/>
            </w:tcBorders>
            <w:shd w:val="clear" w:color="000000" w:fill="FFFF00"/>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xml:space="preserve">     Consommation Finale des Ménages</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5,0</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4,4</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3,9</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3,3</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1,8</w:t>
            </w:r>
          </w:p>
        </w:tc>
        <w:tc>
          <w:tcPr>
            <w:tcW w:w="745" w:type="dxa"/>
            <w:tcBorders>
              <w:top w:val="single" w:sz="8" w:space="0" w:color="auto"/>
              <w:left w:val="single" w:sz="8" w:space="0" w:color="auto"/>
              <w:bottom w:val="nil"/>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2,8</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1,4</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3,2</w:t>
            </w:r>
          </w:p>
        </w:tc>
      </w:tr>
      <w:tr w:rsidR="008E583B" w:rsidRPr="008E0A90" w:rsidTr="008E583B">
        <w:trPr>
          <w:trHeight w:val="270"/>
        </w:trPr>
        <w:tc>
          <w:tcPr>
            <w:tcW w:w="3642" w:type="dxa"/>
            <w:tcBorders>
              <w:top w:val="nil"/>
              <w:left w:val="single" w:sz="4" w:space="0" w:color="auto"/>
              <w:bottom w:val="nil"/>
              <w:right w:val="nil"/>
            </w:tcBorders>
            <w:shd w:val="clear" w:color="000000" w:fill="FFFF00"/>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xml:space="preserve">     Consommation Finale des </w:t>
            </w:r>
            <w:r>
              <w:rPr>
                <w:rFonts w:eastAsia="Times New Roman" w:cs="Times New Roman"/>
                <w:sz w:val="20"/>
                <w:szCs w:val="20"/>
                <w:lang w:eastAsia="fr-FR"/>
              </w:rPr>
              <w:t>AP</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0,8</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1,1</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3,1</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1,3</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2,8</w:t>
            </w:r>
          </w:p>
        </w:tc>
        <w:tc>
          <w:tcPr>
            <w:tcW w:w="745" w:type="dxa"/>
            <w:tcBorders>
              <w:top w:val="single" w:sz="8" w:space="0" w:color="auto"/>
              <w:left w:val="single" w:sz="8" w:space="0" w:color="auto"/>
              <w:bottom w:val="nil"/>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2,3</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1,8</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1,9</w:t>
            </w:r>
          </w:p>
        </w:tc>
      </w:tr>
      <w:tr w:rsidR="008E583B" w:rsidRPr="008E0A90" w:rsidTr="008E583B">
        <w:trPr>
          <w:trHeight w:val="270"/>
        </w:trPr>
        <w:tc>
          <w:tcPr>
            <w:tcW w:w="3642" w:type="dxa"/>
            <w:tcBorders>
              <w:top w:val="single" w:sz="4" w:space="0" w:color="auto"/>
              <w:left w:val="single" w:sz="4" w:space="0" w:color="auto"/>
              <w:bottom w:val="single" w:sz="4" w:space="0" w:color="auto"/>
              <w:right w:val="nil"/>
            </w:tcBorders>
            <w:shd w:val="clear" w:color="000000" w:fill="FFFF00"/>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Accumulation Brute</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w:t>
            </w:r>
          </w:p>
        </w:tc>
        <w:tc>
          <w:tcPr>
            <w:tcW w:w="745" w:type="dxa"/>
            <w:tcBorders>
              <w:top w:val="single" w:sz="8" w:space="0" w:color="auto"/>
              <w:left w:val="single" w:sz="8" w:space="0" w:color="auto"/>
              <w:bottom w:val="nil"/>
              <w:right w:val="single" w:sz="8" w:space="0" w:color="auto"/>
            </w:tcBorders>
            <w:shd w:val="clear" w:color="auto" w:fill="F7CAAC"/>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rPr>
                <w:rFonts w:eastAsia="Times New Roman" w:cs="Times New Roman"/>
                <w:sz w:val="20"/>
                <w:szCs w:val="20"/>
                <w:lang w:eastAsia="fr-FR"/>
              </w:rPr>
            </w:pP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tcPr>
          <w:p w:rsidR="008E583B" w:rsidRPr="00E42C73" w:rsidRDefault="008E583B" w:rsidP="002F26E1">
            <w:pPr>
              <w:spacing w:after="0" w:line="240" w:lineRule="auto"/>
              <w:jc w:val="center"/>
              <w:rPr>
                <w:rFonts w:eastAsia="Times New Roman" w:cs="Times New Roman"/>
                <w:sz w:val="20"/>
                <w:szCs w:val="20"/>
                <w:lang w:eastAsia="fr-FR"/>
              </w:rPr>
            </w:pPr>
          </w:p>
        </w:tc>
      </w:tr>
      <w:tr w:rsidR="008E583B" w:rsidRPr="008E0A90" w:rsidTr="008E583B">
        <w:trPr>
          <w:trHeight w:val="270"/>
        </w:trPr>
        <w:tc>
          <w:tcPr>
            <w:tcW w:w="3642" w:type="dxa"/>
            <w:tcBorders>
              <w:top w:val="nil"/>
              <w:left w:val="single" w:sz="4" w:space="0" w:color="auto"/>
              <w:bottom w:val="nil"/>
              <w:right w:val="nil"/>
            </w:tcBorders>
            <w:shd w:val="clear" w:color="000000" w:fill="FFFF00"/>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xml:space="preserve">     FBCF</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8,6</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6,4</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5,7</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3,5</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3,4</w:t>
            </w:r>
          </w:p>
        </w:tc>
        <w:tc>
          <w:tcPr>
            <w:tcW w:w="745" w:type="dxa"/>
            <w:tcBorders>
              <w:top w:val="single" w:sz="8" w:space="0" w:color="auto"/>
              <w:left w:val="single" w:sz="8" w:space="0" w:color="auto"/>
              <w:bottom w:val="nil"/>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3,1</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2,5</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4,7</w:t>
            </w:r>
          </w:p>
        </w:tc>
      </w:tr>
      <w:tr w:rsidR="008E583B" w:rsidRPr="008E0A90" w:rsidTr="008E583B">
        <w:trPr>
          <w:trHeight w:val="270"/>
        </w:trPr>
        <w:tc>
          <w:tcPr>
            <w:tcW w:w="3642" w:type="dxa"/>
            <w:tcBorders>
              <w:top w:val="nil"/>
              <w:left w:val="single" w:sz="4" w:space="0" w:color="auto"/>
              <w:bottom w:val="nil"/>
              <w:right w:val="nil"/>
            </w:tcBorders>
            <w:shd w:val="clear" w:color="000000" w:fill="FFFF00"/>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xml:space="preserve">     Variation des Stocks</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w:t>
            </w:r>
          </w:p>
        </w:tc>
        <w:tc>
          <w:tcPr>
            <w:tcW w:w="745" w:type="dxa"/>
            <w:tcBorders>
              <w:top w:val="single" w:sz="8" w:space="0" w:color="auto"/>
              <w:left w:val="single" w:sz="8" w:space="0" w:color="auto"/>
              <w:bottom w:val="nil"/>
              <w:right w:val="single" w:sz="8" w:space="0" w:color="auto"/>
            </w:tcBorders>
            <w:shd w:val="clear" w:color="auto" w:fill="F7CAAC"/>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rPr>
                <w:rFonts w:eastAsia="Times New Roman" w:cs="Times New Roman"/>
                <w:sz w:val="20"/>
                <w:szCs w:val="20"/>
                <w:lang w:eastAsia="fr-FR"/>
              </w:rPr>
            </w:pP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tcPr>
          <w:p w:rsidR="008E583B" w:rsidRPr="00E42C73" w:rsidRDefault="008E583B" w:rsidP="002F26E1">
            <w:pPr>
              <w:spacing w:after="0" w:line="240" w:lineRule="auto"/>
              <w:jc w:val="center"/>
              <w:rPr>
                <w:rFonts w:eastAsia="Times New Roman" w:cs="Times New Roman"/>
                <w:sz w:val="20"/>
                <w:szCs w:val="20"/>
                <w:lang w:eastAsia="fr-FR"/>
              </w:rPr>
            </w:pPr>
          </w:p>
        </w:tc>
      </w:tr>
      <w:tr w:rsidR="008E583B" w:rsidRPr="008E0A90" w:rsidTr="008E583B">
        <w:trPr>
          <w:trHeight w:val="270"/>
        </w:trPr>
        <w:tc>
          <w:tcPr>
            <w:tcW w:w="3642" w:type="dxa"/>
            <w:tcBorders>
              <w:top w:val="single" w:sz="4" w:space="0" w:color="auto"/>
              <w:left w:val="single" w:sz="4" w:space="0" w:color="auto"/>
              <w:bottom w:val="single" w:sz="4" w:space="0" w:color="auto"/>
              <w:right w:val="nil"/>
            </w:tcBorders>
            <w:shd w:val="clear" w:color="000000" w:fill="FFFF00"/>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Exportations</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-5,7</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0,2</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0,5</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7,0</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-6,1</w:t>
            </w:r>
          </w:p>
        </w:tc>
        <w:tc>
          <w:tcPr>
            <w:tcW w:w="745" w:type="dxa"/>
            <w:tcBorders>
              <w:top w:val="single" w:sz="8" w:space="0" w:color="auto"/>
              <w:left w:val="single" w:sz="8" w:space="0" w:color="auto"/>
              <w:bottom w:val="nil"/>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-4,3</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-4,8</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-1,9</w:t>
            </w:r>
          </w:p>
        </w:tc>
      </w:tr>
      <w:tr w:rsidR="008E583B" w:rsidRPr="008E0A90" w:rsidTr="008E583B">
        <w:trPr>
          <w:trHeight w:val="270"/>
        </w:trPr>
        <w:tc>
          <w:tcPr>
            <w:tcW w:w="3642" w:type="dxa"/>
            <w:tcBorders>
              <w:top w:val="nil"/>
              <w:left w:val="single" w:sz="4" w:space="0" w:color="auto"/>
              <w:bottom w:val="nil"/>
              <w:right w:val="nil"/>
            </w:tcBorders>
            <w:shd w:val="clear" w:color="000000" w:fill="FFFF00"/>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xml:space="preserve">     Exportations des Hydrocarbures</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-6,0</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-1,0</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0,2</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6,3</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-3,5</w:t>
            </w:r>
          </w:p>
        </w:tc>
        <w:tc>
          <w:tcPr>
            <w:tcW w:w="745" w:type="dxa"/>
            <w:tcBorders>
              <w:top w:val="single" w:sz="8" w:space="0" w:color="auto"/>
              <w:left w:val="single" w:sz="8" w:space="0" w:color="auto"/>
              <w:bottom w:val="nil"/>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-8,4</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-5,2</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-2,5</w:t>
            </w:r>
          </w:p>
        </w:tc>
      </w:tr>
      <w:tr w:rsidR="008E583B" w:rsidRPr="008E0A90" w:rsidTr="008E583B">
        <w:trPr>
          <w:trHeight w:val="270"/>
        </w:trPr>
        <w:tc>
          <w:tcPr>
            <w:tcW w:w="3642" w:type="dxa"/>
            <w:tcBorders>
              <w:top w:val="nil"/>
              <w:left w:val="single" w:sz="4" w:space="0" w:color="auto"/>
              <w:bottom w:val="nil"/>
              <w:right w:val="nil"/>
            </w:tcBorders>
            <w:shd w:val="clear" w:color="000000" w:fill="FFFF00"/>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xml:space="preserve">     Exportations autres biens</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-3,1</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29,0</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-8,7</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17,0</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-32,2</w:t>
            </w:r>
          </w:p>
        </w:tc>
        <w:tc>
          <w:tcPr>
            <w:tcW w:w="745" w:type="dxa"/>
            <w:tcBorders>
              <w:top w:val="single" w:sz="8" w:space="0" w:color="auto"/>
              <w:left w:val="single" w:sz="8" w:space="0" w:color="auto"/>
              <w:bottom w:val="nil"/>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59,9</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-1,6</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8,6</w:t>
            </w:r>
          </w:p>
        </w:tc>
      </w:tr>
      <w:tr w:rsidR="008E583B" w:rsidRPr="008E0A90" w:rsidTr="008E583B">
        <w:trPr>
          <w:trHeight w:val="270"/>
        </w:trPr>
        <w:tc>
          <w:tcPr>
            <w:tcW w:w="3642" w:type="dxa"/>
            <w:tcBorders>
              <w:top w:val="nil"/>
              <w:left w:val="single" w:sz="4" w:space="0" w:color="auto"/>
              <w:bottom w:val="nil"/>
              <w:right w:val="nil"/>
            </w:tcBorders>
            <w:shd w:val="clear" w:color="000000" w:fill="FFFF00"/>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 xml:space="preserve">     Exportations services</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-1,3</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5,0</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12,9</w:t>
            </w:r>
          </w:p>
        </w:tc>
        <w:tc>
          <w:tcPr>
            <w:tcW w:w="745"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7,6</w:t>
            </w:r>
          </w:p>
        </w:tc>
        <w:tc>
          <w:tcPr>
            <w:tcW w:w="744" w:type="dxa"/>
            <w:tcBorders>
              <w:top w:val="single" w:sz="8" w:space="0" w:color="auto"/>
              <w:left w:val="single" w:sz="8" w:space="0" w:color="auto"/>
              <w:bottom w:val="nil"/>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-13,2</w:t>
            </w:r>
          </w:p>
        </w:tc>
        <w:tc>
          <w:tcPr>
            <w:tcW w:w="745" w:type="dxa"/>
            <w:tcBorders>
              <w:top w:val="single" w:sz="8" w:space="0" w:color="auto"/>
              <w:left w:val="single" w:sz="8" w:space="0" w:color="auto"/>
              <w:bottom w:val="nil"/>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11,9</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0,0</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3,3</w:t>
            </w:r>
          </w:p>
        </w:tc>
      </w:tr>
      <w:tr w:rsidR="008E583B" w:rsidRPr="008E0A90" w:rsidTr="008E583B">
        <w:trPr>
          <w:trHeight w:val="270"/>
        </w:trPr>
        <w:tc>
          <w:tcPr>
            <w:tcW w:w="3642" w:type="dxa"/>
            <w:tcBorders>
              <w:top w:val="single" w:sz="8" w:space="0" w:color="auto"/>
              <w:left w:val="single" w:sz="8" w:space="0" w:color="auto"/>
              <w:bottom w:val="single" w:sz="8" w:space="0" w:color="auto"/>
              <w:right w:val="nil"/>
            </w:tcBorders>
            <w:shd w:val="clear" w:color="000000" w:fill="FFC000"/>
            <w:noWrap/>
            <w:vAlign w:val="bottom"/>
            <w:hideMark/>
          </w:tcPr>
          <w:p w:rsidR="008E583B" w:rsidRPr="00E42C73" w:rsidRDefault="008E583B" w:rsidP="002F26E1">
            <w:pPr>
              <w:spacing w:after="0" w:line="240" w:lineRule="auto"/>
              <w:rPr>
                <w:rFonts w:eastAsia="Times New Roman" w:cs="Times New Roman"/>
                <w:sz w:val="20"/>
                <w:szCs w:val="20"/>
                <w:lang w:eastAsia="fr-FR"/>
              </w:rPr>
            </w:pPr>
            <w:r w:rsidRPr="00E42C73">
              <w:rPr>
                <w:rFonts w:eastAsia="Times New Roman" w:cs="Times New Roman"/>
                <w:sz w:val="20"/>
                <w:szCs w:val="20"/>
                <w:lang w:eastAsia="fr-FR"/>
              </w:rPr>
              <w:t>Total emplois</w:t>
            </w:r>
          </w:p>
        </w:tc>
        <w:tc>
          <w:tcPr>
            <w:tcW w:w="744" w:type="dxa"/>
            <w:tcBorders>
              <w:top w:val="single" w:sz="8" w:space="0" w:color="auto"/>
              <w:left w:val="single" w:sz="8" w:space="0" w:color="auto"/>
              <w:bottom w:val="single" w:sz="8" w:space="0" w:color="auto"/>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4,3</w:t>
            </w:r>
          </w:p>
        </w:tc>
        <w:tc>
          <w:tcPr>
            <w:tcW w:w="745" w:type="dxa"/>
            <w:tcBorders>
              <w:top w:val="single" w:sz="8" w:space="0" w:color="auto"/>
              <w:left w:val="single" w:sz="8" w:space="0" w:color="auto"/>
              <w:bottom w:val="single" w:sz="8" w:space="0" w:color="auto"/>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4,9</w:t>
            </w:r>
          </w:p>
        </w:tc>
        <w:tc>
          <w:tcPr>
            <w:tcW w:w="745" w:type="dxa"/>
            <w:tcBorders>
              <w:top w:val="single" w:sz="8" w:space="0" w:color="auto"/>
              <w:left w:val="single" w:sz="8" w:space="0" w:color="auto"/>
              <w:bottom w:val="single" w:sz="8" w:space="0" w:color="auto"/>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4,5</w:t>
            </w:r>
          </w:p>
        </w:tc>
        <w:tc>
          <w:tcPr>
            <w:tcW w:w="745" w:type="dxa"/>
            <w:tcBorders>
              <w:top w:val="single" w:sz="8" w:space="0" w:color="auto"/>
              <w:left w:val="single" w:sz="8" w:space="0" w:color="auto"/>
              <w:bottom w:val="single" w:sz="8" w:space="0" w:color="auto"/>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1,6</w:t>
            </w:r>
          </w:p>
        </w:tc>
        <w:tc>
          <w:tcPr>
            <w:tcW w:w="744" w:type="dxa"/>
            <w:tcBorders>
              <w:top w:val="single" w:sz="8" w:space="0" w:color="auto"/>
              <w:left w:val="single" w:sz="8" w:space="0" w:color="auto"/>
              <w:bottom w:val="single" w:sz="8" w:space="0" w:color="auto"/>
              <w:right w:val="nil"/>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-0,9</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0,1</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1,0</w:t>
            </w:r>
          </w:p>
        </w:tc>
        <w:tc>
          <w:tcPr>
            <w:tcW w:w="745"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E42C73" w:rsidRDefault="008E583B" w:rsidP="002F26E1">
            <w:pPr>
              <w:spacing w:after="0" w:line="240" w:lineRule="auto"/>
              <w:jc w:val="right"/>
              <w:rPr>
                <w:rFonts w:eastAsia="Times New Roman" w:cs="Times New Roman"/>
                <w:sz w:val="20"/>
                <w:szCs w:val="20"/>
                <w:lang w:eastAsia="fr-FR"/>
              </w:rPr>
            </w:pPr>
            <w:r w:rsidRPr="00E42C73">
              <w:rPr>
                <w:rFonts w:eastAsia="Times New Roman" w:cs="Times New Roman"/>
                <w:sz w:val="20"/>
                <w:szCs w:val="20"/>
                <w:lang w:eastAsia="fr-FR"/>
              </w:rPr>
              <w:t>2,2</w:t>
            </w:r>
          </w:p>
        </w:tc>
      </w:tr>
    </w:tbl>
    <w:p w:rsidR="008E583B" w:rsidRDefault="008E583B" w:rsidP="004C23B6">
      <w:pPr>
        <w:jc w:val="both"/>
        <w:rPr>
          <w:sz w:val="20"/>
          <w:szCs w:val="20"/>
        </w:rPr>
      </w:pPr>
      <w:r w:rsidRPr="00260051">
        <w:rPr>
          <w:sz w:val="20"/>
          <w:szCs w:val="20"/>
        </w:rPr>
        <w:t>Source : Office National des Statistiques (ONS)</w:t>
      </w:r>
      <w:r>
        <w:rPr>
          <w:sz w:val="20"/>
          <w:szCs w:val="20"/>
        </w:rPr>
        <w:t>.</w:t>
      </w:r>
    </w:p>
    <w:p w:rsidR="008E583B" w:rsidRPr="00284029" w:rsidRDefault="008E583B" w:rsidP="008E583B">
      <w:pPr>
        <w:jc w:val="center"/>
        <w:rPr>
          <w:b/>
          <w:bCs/>
        </w:rPr>
      </w:pPr>
      <w:r w:rsidRPr="00284029">
        <w:rPr>
          <w:b/>
          <w:bCs/>
        </w:rPr>
        <w:lastRenderedPageBreak/>
        <w:t>Tab N°</w:t>
      </w:r>
      <w:r>
        <w:rPr>
          <w:b/>
          <w:bCs/>
        </w:rPr>
        <w:t>4</w:t>
      </w:r>
      <w:r w:rsidRPr="00284029">
        <w:rPr>
          <w:b/>
          <w:bCs/>
        </w:rPr>
        <w:t xml:space="preserve"> – </w:t>
      </w:r>
      <w:r>
        <w:rPr>
          <w:b/>
          <w:bCs/>
        </w:rPr>
        <w:t>Balance des paiements (en millions de US $)</w:t>
      </w:r>
      <w:r w:rsidRPr="00284029">
        <w:rPr>
          <w:b/>
          <w:bCs/>
        </w:rPr>
        <w:t xml:space="preserve"> </w:t>
      </w:r>
    </w:p>
    <w:tbl>
      <w:tblPr>
        <w:tblW w:w="9430" w:type="dxa"/>
        <w:tblInd w:w="70" w:type="dxa"/>
        <w:tblLayout w:type="fixed"/>
        <w:tblCellMar>
          <w:left w:w="70" w:type="dxa"/>
          <w:right w:w="70" w:type="dxa"/>
        </w:tblCellMar>
        <w:tblLook w:val="04A0" w:firstRow="1" w:lastRow="0" w:firstColumn="1" w:lastColumn="0" w:noHBand="0" w:noVBand="1"/>
      </w:tblPr>
      <w:tblGrid>
        <w:gridCol w:w="3481"/>
        <w:gridCol w:w="849"/>
        <w:gridCol w:w="850"/>
        <w:gridCol w:w="850"/>
        <w:gridCol w:w="850"/>
        <w:gridCol w:w="850"/>
        <w:gridCol w:w="850"/>
        <w:gridCol w:w="850"/>
      </w:tblGrid>
      <w:tr w:rsidR="008E583B" w:rsidRPr="008E0A90" w:rsidTr="002F26E1">
        <w:trPr>
          <w:trHeight w:val="315"/>
        </w:trPr>
        <w:tc>
          <w:tcPr>
            <w:tcW w:w="3481" w:type="dxa"/>
            <w:tcBorders>
              <w:top w:val="nil"/>
              <w:left w:val="nil"/>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p>
        </w:tc>
        <w:tc>
          <w:tcPr>
            <w:tcW w:w="849" w:type="dxa"/>
            <w:tcBorders>
              <w:top w:val="single" w:sz="8" w:space="0" w:color="auto"/>
              <w:left w:val="single" w:sz="8" w:space="0" w:color="auto"/>
              <w:bottom w:val="single" w:sz="8" w:space="0" w:color="auto"/>
              <w:right w:val="single" w:sz="8" w:space="0" w:color="auto"/>
            </w:tcBorders>
            <w:shd w:val="clear" w:color="000000" w:fill="00FF00"/>
            <w:noWrap/>
            <w:vAlign w:val="bottom"/>
            <w:hideMark/>
          </w:tcPr>
          <w:p w:rsidR="008E583B" w:rsidRPr="00260051" w:rsidRDefault="008E583B" w:rsidP="002F26E1">
            <w:pPr>
              <w:spacing w:after="0" w:line="240" w:lineRule="auto"/>
              <w:jc w:val="center"/>
              <w:rPr>
                <w:rFonts w:eastAsia="Times New Roman" w:cs="Times New Roman"/>
                <w:b/>
                <w:bCs/>
                <w:sz w:val="18"/>
                <w:szCs w:val="18"/>
                <w:lang w:eastAsia="fr-FR"/>
              </w:rPr>
            </w:pPr>
            <w:r w:rsidRPr="00260051">
              <w:rPr>
                <w:rFonts w:eastAsia="Times New Roman" w:cs="Times New Roman"/>
                <w:b/>
                <w:bCs/>
                <w:sz w:val="18"/>
                <w:szCs w:val="18"/>
                <w:lang w:eastAsia="fr-FR"/>
              </w:rPr>
              <w:t>2013</w:t>
            </w:r>
          </w:p>
        </w:tc>
        <w:tc>
          <w:tcPr>
            <w:tcW w:w="850" w:type="dxa"/>
            <w:tcBorders>
              <w:top w:val="single" w:sz="8" w:space="0" w:color="auto"/>
              <w:left w:val="nil"/>
              <w:bottom w:val="single" w:sz="8" w:space="0" w:color="auto"/>
              <w:right w:val="single" w:sz="8" w:space="0" w:color="auto"/>
            </w:tcBorders>
            <w:shd w:val="clear" w:color="000000" w:fill="00FF00"/>
            <w:noWrap/>
            <w:vAlign w:val="bottom"/>
            <w:hideMark/>
          </w:tcPr>
          <w:p w:rsidR="008E583B" w:rsidRPr="00260051" w:rsidRDefault="008E583B" w:rsidP="002F26E1">
            <w:pPr>
              <w:spacing w:after="0" w:line="240" w:lineRule="auto"/>
              <w:jc w:val="center"/>
              <w:rPr>
                <w:rFonts w:eastAsia="Times New Roman" w:cs="Times New Roman"/>
                <w:b/>
                <w:bCs/>
                <w:sz w:val="18"/>
                <w:szCs w:val="18"/>
                <w:lang w:eastAsia="fr-FR"/>
              </w:rPr>
            </w:pPr>
            <w:r w:rsidRPr="00260051">
              <w:rPr>
                <w:rFonts w:eastAsia="Times New Roman" w:cs="Times New Roman"/>
                <w:b/>
                <w:bCs/>
                <w:sz w:val="18"/>
                <w:szCs w:val="18"/>
                <w:lang w:eastAsia="fr-FR"/>
              </w:rPr>
              <w:t>2014</w:t>
            </w:r>
          </w:p>
        </w:tc>
        <w:tc>
          <w:tcPr>
            <w:tcW w:w="850" w:type="dxa"/>
            <w:tcBorders>
              <w:top w:val="single" w:sz="8" w:space="0" w:color="auto"/>
              <w:left w:val="nil"/>
              <w:bottom w:val="single" w:sz="8" w:space="0" w:color="auto"/>
              <w:right w:val="single" w:sz="8" w:space="0" w:color="auto"/>
            </w:tcBorders>
            <w:shd w:val="clear" w:color="000000" w:fill="00FF00"/>
            <w:noWrap/>
            <w:vAlign w:val="bottom"/>
            <w:hideMark/>
          </w:tcPr>
          <w:p w:rsidR="008E583B" w:rsidRPr="00260051" w:rsidRDefault="008E583B" w:rsidP="002F26E1">
            <w:pPr>
              <w:spacing w:after="0" w:line="240" w:lineRule="auto"/>
              <w:jc w:val="center"/>
              <w:rPr>
                <w:rFonts w:eastAsia="Times New Roman" w:cs="Times New Roman"/>
                <w:b/>
                <w:bCs/>
                <w:sz w:val="18"/>
                <w:szCs w:val="18"/>
                <w:lang w:eastAsia="fr-FR"/>
              </w:rPr>
            </w:pPr>
            <w:r w:rsidRPr="00260051">
              <w:rPr>
                <w:rFonts w:eastAsia="Times New Roman" w:cs="Times New Roman"/>
                <w:b/>
                <w:bCs/>
                <w:sz w:val="18"/>
                <w:szCs w:val="18"/>
                <w:lang w:eastAsia="fr-FR"/>
              </w:rPr>
              <w:t>2015</w:t>
            </w:r>
          </w:p>
        </w:tc>
        <w:tc>
          <w:tcPr>
            <w:tcW w:w="850" w:type="dxa"/>
            <w:tcBorders>
              <w:top w:val="single" w:sz="8" w:space="0" w:color="auto"/>
              <w:left w:val="nil"/>
              <w:bottom w:val="single" w:sz="8" w:space="0" w:color="auto"/>
              <w:right w:val="single" w:sz="8" w:space="0" w:color="auto"/>
            </w:tcBorders>
            <w:shd w:val="clear" w:color="000000" w:fill="00FF00"/>
            <w:noWrap/>
            <w:vAlign w:val="bottom"/>
            <w:hideMark/>
          </w:tcPr>
          <w:p w:rsidR="008E583B" w:rsidRPr="00260051" w:rsidRDefault="008E583B" w:rsidP="002F26E1">
            <w:pPr>
              <w:spacing w:after="0" w:line="240" w:lineRule="auto"/>
              <w:jc w:val="center"/>
              <w:rPr>
                <w:rFonts w:eastAsia="Times New Roman" w:cs="Times New Roman"/>
                <w:b/>
                <w:bCs/>
                <w:sz w:val="18"/>
                <w:szCs w:val="18"/>
                <w:lang w:eastAsia="fr-FR"/>
              </w:rPr>
            </w:pPr>
            <w:r w:rsidRPr="00260051">
              <w:rPr>
                <w:rFonts w:eastAsia="Times New Roman" w:cs="Times New Roman"/>
                <w:b/>
                <w:bCs/>
                <w:sz w:val="18"/>
                <w:szCs w:val="18"/>
                <w:lang w:eastAsia="fr-FR"/>
              </w:rPr>
              <w:t>2016</w:t>
            </w:r>
          </w:p>
        </w:tc>
        <w:tc>
          <w:tcPr>
            <w:tcW w:w="850" w:type="dxa"/>
            <w:tcBorders>
              <w:top w:val="single" w:sz="8" w:space="0" w:color="auto"/>
              <w:left w:val="nil"/>
              <w:bottom w:val="single" w:sz="8" w:space="0" w:color="auto"/>
              <w:right w:val="single" w:sz="8" w:space="0" w:color="auto"/>
            </w:tcBorders>
            <w:shd w:val="clear" w:color="000000" w:fill="00FF00"/>
            <w:noWrap/>
            <w:vAlign w:val="bottom"/>
            <w:hideMark/>
          </w:tcPr>
          <w:p w:rsidR="008E583B" w:rsidRPr="00260051" w:rsidRDefault="008E583B" w:rsidP="002F26E1">
            <w:pPr>
              <w:spacing w:after="0" w:line="240" w:lineRule="auto"/>
              <w:jc w:val="center"/>
              <w:rPr>
                <w:rFonts w:eastAsia="Times New Roman" w:cs="Times New Roman"/>
                <w:b/>
                <w:bCs/>
                <w:sz w:val="18"/>
                <w:szCs w:val="18"/>
                <w:lang w:eastAsia="fr-FR"/>
              </w:rPr>
            </w:pPr>
            <w:r w:rsidRPr="00260051">
              <w:rPr>
                <w:rFonts w:eastAsia="Times New Roman" w:cs="Times New Roman"/>
                <w:b/>
                <w:bCs/>
                <w:sz w:val="18"/>
                <w:szCs w:val="18"/>
                <w:lang w:eastAsia="fr-FR"/>
              </w:rPr>
              <w:t>2017</w:t>
            </w:r>
          </w:p>
        </w:tc>
        <w:tc>
          <w:tcPr>
            <w:tcW w:w="850" w:type="dxa"/>
            <w:tcBorders>
              <w:top w:val="single" w:sz="8" w:space="0" w:color="auto"/>
              <w:left w:val="nil"/>
              <w:bottom w:val="single" w:sz="8" w:space="0" w:color="auto"/>
              <w:right w:val="single" w:sz="8" w:space="0" w:color="auto"/>
            </w:tcBorders>
            <w:shd w:val="clear" w:color="000000" w:fill="00FF00"/>
            <w:noWrap/>
            <w:vAlign w:val="bottom"/>
            <w:hideMark/>
          </w:tcPr>
          <w:p w:rsidR="008E583B" w:rsidRPr="00260051" w:rsidRDefault="008E583B" w:rsidP="002F26E1">
            <w:pPr>
              <w:spacing w:after="0" w:line="240" w:lineRule="auto"/>
              <w:jc w:val="center"/>
              <w:rPr>
                <w:rFonts w:eastAsia="Times New Roman" w:cs="Times New Roman"/>
                <w:b/>
                <w:bCs/>
                <w:sz w:val="18"/>
                <w:szCs w:val="18"/>
                <w:lang w:eastAsia="fr-FR"/>
              </w:rPr>
            </w:pPr>
            <w:r w:rsidRPr="00260051">
              <w:rPr>
                <w:rFonts w:eastAsia="Times New Roman" w:cs="Times New Roman"/>
                <w:b/>
                <w:bCs/>
                <w:sz w:val="18"/>
                <w:szCs w:val="18"/>
                <w:lang w:eastAsia="fr-FR"/>
              </w:rPr>
              <w:t>2018</w:t>
            </w:r>
          </w:p>
        </w:tc>
        <w:tc>
          <w:tcPr>
            <w:tcW w:w="850" w:type="dxa"/>
            <w:tcBorders>
              <w:top w:val="single" w:sz="8" w:space="0" w:color="auto"/>
              <w:left w:val="nil"/>
              <w:bottom w:val="single" w:sz="8" w:space="0" w:color="auto"/>
              <w:right w:val="single" w:sz="8" w:space="0" w:color="auto"/>
            </w:tcBorders>
            <w:shd w:val="clear" w:color="000000" w:fill="00FF00"/>
            <w:noWrap/>
            <w:vAlign w:val="bottom"/>
            <w:hideMark/>
          </w:tcPr>
          <w:p w:rsidR="008E583B" w:rsidRPr="00260051" w:rsidRDefault="008E583B" w:rsidP="002F26E1">
            <w:pPr>
              <w:spacing w:after="0" w:line="240" w:lineRule="auto"/>
              <w:jc w:val="center"/>
              <w:rPr>
                <w:rFonts w:eastAsia="Times New Roman" w:cs="Times New Roman"/>
                <w:b/>
                <w:bCs/>
                <w:sz w:val="18"/>
                <w:szCs w:val="18"/>
                <w:lang w:eastAsia="fr-FR"/>
              </w:rPr>
            </w:pPr>
            <w:r w:rsidRPr="00260051">
              <w:rPr>
                <w:rFonts w:eastAsia="Times New Roman" w:cs="Times New Roman"/>
                <w:b/>
                <w:bCs/>
                <w:sz w:val="18"/>
                <w:szCs w:val="18"/>
                <w:lang w:eastAsia="fr-FR"/>
              </w:rPr>
              <w:t>1T2019</w:t>
            </w:r>
          </w:p>
        </w:tc>
      </w:tr>
      <w:tr w:rsidR="008E583B" w:rsidRPr="008E0A90" w:rsidTr="008E583B">
        <w:trPr>
          <w:trHeight w:val="300"/>
        </w:trPr>
        <w:tc>
          <w:tcPr>
            <w:tcW w:w="3481" w:type="dxa"/>
            <w:tcBorders>
              <w:top w:val="single" w:sz="8" w:space="0" w:color="auto"/>
              <w:left w:val="single" w:sz="8" w:space="0" w:color="auto"/>
              <w:bottom w:val="nil"/>
              <w:right w:val="single" w:sz="8" w:space="0" w:color="auto"/>
            </w:tcBorders>
            <w:shd w:val="clear" w:color="000000" w:fill="FFFF00"/>
            <w:noWrap/>
            <w:vAlign w:val="bottom"/>
            <w:hideMark/>
          </w:tcPr>
          <w:p w:rsidR="008E583B" w:rsidRPr="00260051" w:rsidRDefault="008E583B" w:rsidP="002F26E1">
            <w:pPr>
              <w:spacing w:after="0" w:line="240" w:lineRule="auto"/>
              <w:rPr>
                <w:rFonts w:eastAsia="Times New Roman" w:cs="Times New Roman"/>
                <w:b/>
                <w:bCs/>
                <w:sz w:val="18"/>
                <w:szCs w:val="18"/>
                <w:lang w:eastAsia="fr-FR"/>
              </w:rPr>
            </w:pPr>
            <w:r w:rsidRPr="00260051">
              <w:rPr>
                <w:rFonts w:eastAsia="Times New Roman" w:cs="Times New Roman"/>
                <w:b/>
                <w:bCs/>
                <w:sz w:val="18"/>
                <w:szCs w:val="18"/>
                <w:lang w:eastAsia="fr-FR"/>
              </w:rPr>
              <w:t>Marchandises FOB/FOB (net)</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9877</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-41</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-18083</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-20124</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-14412</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-7450</w:t>
            </w:r>
          </w:p>
        </w:tc>
        <w:tc>
          <w:tcPr>
            <w:tcW w:w="850" w:type="dxa"/>
            <w:tcBorders>
              <w:top w:val="single" w:sz="8" w:space="0" w:color="auto"/>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-2750</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Exportations (FOB)</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64867</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59629</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34566</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29313</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34569</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41120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9370</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xml:space="preserve">    Hydrocarbures</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63816</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58462</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33081</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27920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33202</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38900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8830</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xml:space="preserve">   Autres marchandises</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1051</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1167</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1485</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1393</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1367</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2220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540</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Importations de marchandises (FOB)</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-54990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-59670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-52649</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-49437</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-48981</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-48570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-12120</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000000" w:fill="FFFF00"/>
            <w:noWrap/>
            <w:vAlign w:val="bottom"/>
            <w:hideMark/>
          </w:tcPr>
          <w:p w:rsidR="008E583B" w:rsidRPr="00260051" w:rsidRDefault="008E583B" w:rsidP="002F26E1">
            <w:pPr>
              <w:spacing w:after="0" w:line="240" w:lineRule="auto"/>
              <w:rPr>
                <w:rFonts w:eastAsia="Times New Roman" w:cs="Times New Roman"/>
                <w:b/>
                <w:bCs/>
                <w:sz w:val="18"/>
                <w:szCs w:val="18"/>
                <w:lang w:eastAsia="fr-FR"/>
              </w:rPr>
            </w:pPr>
            <w:r w:rsidRPr="00260051">
              <w:rPr>
                <w:rFonts w:eastAsia="Times New Roman" w:cs="Times New Roman"/>
                <w:b/>
                <w:bCs/>
                <w:sz w:val="18"/>
                <w:szCs w:val="18"/>
                <w:lang w:eastAsia="fr-FR"/>
              </w:rPr>
              <w:t>Services Non facteurs</w:t>
            </w:r>
          </w:p>
        </w:tc>
        <w:tc>
          <w:tcPr>
            <w:tcW w:w="849" w:type="dxa"/>
            <w:tcBorders>
              <w:top w:val="nil"/>
              <w:left w:val="single" w:sz="4"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-6998</w:t>
            </w:r>
          </w:p>
        </w:tc>
        <w:tc>
          <w:tcPr>
            <w:tcW w:w="850" w:type="dxa"/>
            <w:tcBorders>
              <w:top w:val="nil"/>
              <w:left w:val="single" w:sz="8"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-8141</w:t>
            </w:r>
          </w:p>
        </w:tc>
        <w:tc>
          <w:tcPr>
            <w:tcW w:w="850" w:type="dxa"/>
            <w:tcBorders>
              <w:top w:val="nil"/>
              <w:left w:val="single" w:sz="8"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-7522</w:t>
            </w:r>
          </w:p>
        </w:tc>
        <w:tc>
          <w:tcPr>
            <w:tcW w:w="850" w:type="dxa"/>
            <w:tcBorders>
              <w:top w:val="nil"/>
              <w:left w:val="single" w:sz="8"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-7350</w:t>
            </w:r>
          </w:p>
        </w:tc>
        <w:tc>
          <w:tcPr>
            <w:tcW w:w="850" w:type="dxa"/>
            <w:tcBorders>
              <w:top w:val="nil"/>
              <w:left w:val="single" w:sz="8"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-8042</w:t>
            </w:r>
          </w:p>
        </w:tc>
        <w:tc>
          <w:tcPr>
            <w:tcW w:w="850" w:type="dxa"/>
            <w:tcBorders>
              <w:top w:val="nil"/>
              <w:left w:val="single" w:sz="8"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-8170</w:t>
            </w:r>
          </w:p>
        </w:tc>
        <w:tc>
          <w:tcPr>
            <w:tcW w:w="850" w:type="dxa"/>
            <w:tcBorders>
              <w:top w:val="nil"/>
              <w:left w:val="single" w:sz="8"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-2190</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xml:space="preserve">   Crédit</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3778</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3555</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3482</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3430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3137</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3280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750</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xml:space="preserve">   Débit</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-10776</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-11696</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-11004</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-10780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-11179</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-11450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-2940</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000000" w:fill="FFFF00"/>
            <w:noWrap/>
            <w:vAlign w:val="bottom"/>
            <w:hideMark/>
          </w:tcPr>
          <w:p w:rsidR="008E583B" w:rsidRPr="00260051" w:rsidRDefault="008E583B" w:rsidP="002F26E1">
            <w:pPr>
              <w:spacing w:after="0" w:line="240" w:lineRule="auto"/>
              <w:rPr>
                <w:rFonts w:eastAsia="Times New Roman" w:cs="Times New Roman"/>
                <w:b/>
                <w:bCs/>
                <w:sz w:val="18"/>
                <w:szCs w:val="18"/>
                <w:lang w:eastAsia="fr-FR"/>
              </w:rPr>
            </w:pPr>
            <w:r w:rsidRPr="00260051">
              <w:rPr>
                <w:rFonts w:eastAsia="Times New Roman" w:cs="Times New Roman"/>
                <w:b/>
                <w:bCs/>
                <w:sz w:val="18"/>
                <w:szCs w:val="18"/>
                <w:lang w:eastAsia="fr-FR"/>
              </w:rPr>
              <w:t>Revenu du capital</w:t>
            </w:r>
          </w:p>
        </w:tc>
        <w:tc>
          <w:tcPr>
            <w:tcW w:w="849" w:type="dxa"/>
            <w:tcBorders>
              <w:top w:val="nil"/>
              <w:left w:val="single" w:sz="4"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-4521</w:t>
            </w:r>
          </w:p>
        </w:tc>
        <w:tc>
          <w:tcPr>
            <w:tcW w:w="850" w:type="dxa"/>
            <w:tcBorders>
              <w:top w:val="nil"/>
              <w:left w:val="single" w:sz="8"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-4814</w:t>
            </w:r>
          </w:p>
        </w:tc>
        <w:tc>
          <w:tcPr>
            <w:tcW w:w="850" w:type="dxa"/>
            <w:tcBorders>
              <w:top w:val="nil"/>
              <w:left w:val="single" w:sz="8"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-4450</w:t>
            </w:r>
          </w:p>
        </w:tc>
        <w:tc>
          <w:tcPr>
            <w:tcW w:w="850" w:type="dxa"/>
            <w:tcBorders>
              <w:top w:val="nil"/>
              <w:left w:val="single" w:sz="8"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-1570</w:t>
            </w:r>
          </w:p>
        </w:tc>
        <w:tc>
          <w:tcPr>
            <w:tcW w:w="850" w:type="dxa"/>
            <w:tcBorders>
              <w:top w:val="nil"/>
              <w:left w:val="single" w:sz="8"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-2594</w:t>
            </w:r>
          </w:p>
        </w:tc>
        <w:tc>
          <w:tcPr>
            <w:tcW w:w="850" w:type="dxa"/>
            <w:tcBorders>
              <w:top w:val="nil"/>
              <w:left w:val="single" w:sz="8"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-4420</w:t>
            </w:r>
          </w:p>
        </w:tc>
        <w:tc>
          <w:tcPr>
            <w:tcW w:w="850" w:type="dxa"/>
            <w:tcBorders>
              <w:top w:val="nil"/>
              <w:left w:val="single" w:sz="8"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-1170</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xml:space="preserve">   Intérêts reçus</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3548</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3232</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2190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2420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2262</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1310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270</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xml:space="preserve">   Intérêts payés</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-8069</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-8046</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-6640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-3990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-4856</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-5730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-1440</w:t>
            </w:r>
          </w:p>
        </w:tc>
      </w:tr>
      <w:tr w:rsidR="008E583B" w:rsidRPr="008E0A90" w:rsidTr="008E583B">
        <w:trPr>
          <w:trHeight w:val="300"/>
        </w:trPr>
        <w:tc>
          <w:tcPr>
            <w:tcW w:w="3481" w:type="dxa"/>
            <w:tcBorders>
              <w:top w:val="nil"/>
              <w:left w:val="single" w:sz="8" w:space="0" w:color="auto"/>
              <w:bottom w:val="single" w:sz="8" w:space="0" w:color="auto"/>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49" w:type="dxa"/>
            <w:tcBorders>
              <w:top w:val="nil"/>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r>
      <w:tr w:rsidR="008E583B" w:rsidRPr="008E0A90" w:rsidTr="008E583B">
        <w:trPr>
          <w:trHeight w:val="315"/>
        </w:trPr>
        <w:tc>
          <w:tcPr>
            <w:tcW w:w="348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8E583B" w:rsidRPr="00260051" w:rsidRDefault="008E583B" w:rsidP="002F26E1">
            <w:pPr>
              <w:spacing w:after="0" w:line="240" w:lineRule="auto"/>
              <w:rPr>
                <w:rFonts w:eastAsia="Times New Roman" w:cs="Times New Roman"/>
                <w:b/>
                <w:bCs/>
                <w:sz w:val="18"/>
                <w:szCs w:val="18"/>
                <w:lang w:eastAsia="fr-FR"/>
              </w:rPr>
            </w:pPr>
            <w:r w:rsidRPr="00260051">
              <w:rPr>
                <w:rFonts w:eastAsia="Times New Roman" w:cs="Times New Roman"/>
                <w:b/>
                <w:bCs/>
                <w:sz w:val="18"/>
                <w:szCs w:val="18"/>
                <w:lang w:eastAsia="fr-FR"/>
              </w:rPr>
              <w:t>Transferts nets</w:t>
            </w:r>
          </w:p>
        </w:tc>
        <w:tc>
          <w:tcPr>
            <w:tcW w:w="849" w:type="dxa"/>
            <w:tcBorders>
              <w:top w:val="single" w:sz="8" w:space="0" w:color="auto"/>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2792</w:t>
            </w:r>
          </w:p>
        </w:tc>
        <w:tc>
          <w:tcPr>
            <w:tcW w:w="850"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3719</w:t>
            </w:r>
          </w:p>
        </w:tc>
        <w:tc>
          <w:tcPr>
            <w:tcW w:w="850"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2770</w:t>
            </w:r>
          </w:p>
        </w:tc>
        <w:tc>
          <w:tcPr>
            <w:tcW w:w="850"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2820</w:t>
            </w:r>
          </w:p>
        </w:tc>
        <w:tc>
          <w:tcPr>
            <w:tcW w:w="850"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2955</w:t>
            </w:r>
          </w:p>
        </w:tc>
        <w:tc>
          <w:tcPr>
            <w:tcW w:w="850"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3350</w:t>
            </w:r>
          </w:p>
        </w:tc>
        <w:tc>
          <w:tcPr>
            <w:tcW w:w="850" w:type="dxa"/>
            <w:tcBorders>
              <w:top w:val="single" w:sz="8" w:space="0" w:color="auto"/>
              <w:left w:val="single" w:sz="8" w:space="0" w:color="auto"/>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700</w:t>
            </w:r>
          </w:p>
        </w:tc>
      </w:tr>
      <w:tr w:rsidR="008E583B" w:rsidRPr="008E0A90" w:rsidTr="008E583B">
        <w:trPr>
          <w:trHeight w:val="315"/>
        </w:trPr>
        <w:tc>
          <w:tcPr>
            <w:tcW w:w="348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8E583B" w:rsidRPr="00260051" w:rsidRDefault="008E583B" w:rsidP="002F26E1">
            <w:pPr>
              <w:spacing w:after="0" w:line="240" w:lineRule="auto"/>
              <w:rPr>
                <w:rFonts w:eastAsia="Times New Roman" w:cs="Times New Roman"/>
                <w:b/>
                <w:bCs/>
                <w:sz w:val="18"/>
                <w:szCs w:val="18"/>
                <w:lang w:eastAsia="fr-FR"/>
              </w:rPr>
            </w:pPr>
            <w:r w:rsidRPr="00260051">
              <w:rPr>
                <w:rFonts w:eastAsia="Times New Roman" w:cs="Times New Roman"/>
                <w:b/>
                <w:bCs/>
                <w:sz w:val="18"/>
                <w:szCs w:val="18"/>
                <w:lang w:eastAsia="fr-FR"/>
              </w:rPr>
              <w:t>Solde compte courant</w:t>
            </w:r>
          </w:p>
        </w:tc>
        <w:tc>
          <w:tcPr>
            <w:tcW w:w="849" w:type="dxa"/>
            <w:tcBorders>
              <w:top w:val="single" w:sz="8" w:space="0" w:color="auto"/>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1150</w:t>
            </w:r>
          </w:p>
        </w:tc>
        <w:tc>
          <w:tcPr>
            <w:tcW w:w="850" w:type="dxa"/>
            <w:tcBorders>
              <w:top w:val="single" w:sz="8" w:space="0" w:color="auto"/>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-9277</w:t>
            </w:r>
          </w:p>
        </w:tc>
        <w:tc>
          <w:tcPr>
            <w:tcW w:w="850" w:type="dxa"/>
            <w:tcBorders>
              <w:top w:val="single" w:sz="8" w:space="0" w:color="auto"/>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-27285</w:t>
            </w:r>
          </w:p>
        </w:tc>
        <w:tc>
          <w:tcPr>
            <w:tcW w:w="850" w:type="dxa"/>
            <w:tcBorders>
              <w:top w:val="single" w:sz="8" w:space="0" w:color="auto"/>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-26224</w:t>
            </w:r>
          </w:p>
        </w:tc>
        <w:tc>
          <w:tcPr>
            <w:tcW w:w="850" w:type="dxa"/>
            <w:tcBorders>
              <w:top w:val="single" w:sz="8" w:space="0" w:color="auto"/>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-22093</w:t>
            </w:r>
          </w:p>
        </w:tc>
        <w:tc>
          <w:tcPr>
            <w:tcW w:w="850" w:type="dxa"/>
            <w:tcBorders>
              <w:top w:val="single" w:sz="8" w:space="0" w:color="auto"/>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-16690</w:t>
            </w:r>
          </w:p>
        </w:tc>
        <w:tc>
          <w:tcPr>
            <w:tcW w:w="850" w:type="dxa"/>
            <w:tcBorders>
              <w:top w:val="single" w:sz="8" w:space="0" w:color="auto"/>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-5410</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000000" w:fill="FFFF00"/>
            <w:noWrap/>
            <w:vAlign w:val="bottom"/>
            <w:hideMark/>
          </w:tcPr>
          <w:p w:rsidR="008E583B" w:rsidRPr="00260051" w:rsidRDefault="008E583B" w:rsidP="002F26E1">
            <w:pPr>
              <w:spacing w:after="0" w:line="240" w:lineRule="auto"/>
              <w:rPr>
                <w:rFonts w:eastAsia="Times New Roman" w:cs="Times New Roman"/>
                <w:b/>
                <w:bCs/>
                <w:sz w:val="18"/>
                <w:szCs w:val="18"/>
                <w:lang w:eastAsia="fr-FR"/>
              </w:rPr>
            </w:pPr>
            <w:r w:rsidRPr="00260051">
              <w:rPr>
                <w:rFonts w:eastAsia="Times New Roman" w:cs="Times New Roman"/>
                <w:b/>
                <w:bCs/>
                <w:sz w:val="18"/>
                <w:szCs w:val="18"/>
                <w:lang w:eastAsia="fr-FR"/>
              </w:rPr>
              <w:t>Investissements directs (nets)</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1961</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1525</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-691</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1403</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1206</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630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480</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000000" w:fill="FFFF00"/>
            <w:noWrap/>
            <w:vAlign w:val="bottom"/>
            <w:hideMark/>
          </w:tcPr>
          <w:p w:rsidR="008E583B" w:rsidRPr="00260051" w:rsidRDefault="008E583B" w:rsidP="002F26E1">
            <w:pPr>
              <w:spacing w:after="0" w:line="240" w:lineRule="auto"/>
              <w:rPr>
                <w:rFonts w:eastAsia="Times New Roman" w:cs="Times New Roman"/>
                <w:b/>
                <w:bCs/>
                <w:sz w:val="18"/>
                <w:szCs w:val="18"/>
                <w:lang w:eastAsia="fr-FR"/>
              </w:rPr>
            </w:pPr>
            <w:r w:rsidRPr="00260051">
              <w:rPr>
                <w:rFonts w:eastAsia="Times New Roman" w:cs="Times New Roman"/>
                <w:b/>
                <w:bCs/>
                <w:sz w:val="18"/>
                <w:szCs w:val="18"/>
                <w:lang w:eastAsia="fr-FR"/>
              </w:rPr>
              <w:t>Emprunts MLT nets (capitaux officiels nets)</w:t>
            </w:r>
          </w:p>
        </w:tc>
        <w:tc>
          <w:tcPr>
            <w:tcW w:w="849" w:type="dxa"/>
            <w:tcBorders>
              <w:top w:val="nil"/>
              <w:left w:val="single" w:sz="4"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-384</w:t>
            </w:r>
          </w:p>
        </w:tc>
        <w:tc>
          <w:tcPr>
            <w:tcW w:w="850" w:type="dxa"/>
            <w:tcBorders>
              <w:top w:val="nil"/>
              <w:left w:val="single" w:sz="8"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517</w:t>
            </w:r>
          </w:p>
        </w:tc>
        <w:tc>
          <w:tcPr>
            <w:tcW w:w="850" w:type="dxa"/>
            <w:tcBorders>
              <w:top w:val="nil"/>
              <w:left w:val="single" w:sz="8"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-460</w:t>
            </w:r>
          </w:p>
        </w:tc>
        <w:tc>
          <w:tcPr>
            <w:tcW w:w="850" w:type="dxa"/>
            <w:tcBorders>
              <w:top w:val="nil"/>
              <w:left w:val="single" w:sz="8"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980</w:t>
            </w:r>
          </w:p>
        </w:tc>
        <w:tc>
          <w:tcPr>
            <w:tcW w:w="850" w:type="dxa"/>
            <w:tcBorders>
              <w:top w:val="nil"/>
              <w:left w:val="single" w:sz="8"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-66</w:t>
            </w:r>
          </w:p>
        </w:tc>
        <w:tc>
          <w:tcPr>
            <w:tcW w:w="850" w:type="dxa"/>
            <w:tcBorders>
              <w:top w:val="nil"/>
              <w:left w:val="single" w:sz="8"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150</w:t>
            </w:r>
          </w:p>
        </w:tc>
        <w:tc>
          <w:tcPr>
            <w:tcW w:w="850" w:type="dxa"/>
            <w:tcBorders>
              <w:top w:val="nil"/>
              <w:left w:val="single" w:sz="8" w:space="0" w:color="auto"/>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-140</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xml:space="preserve">   Mobilisations (tirages)</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165</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748</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4820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5130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4005</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3410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0</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xml:space="preserve">   Remboursements (amortissements des prêts)</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-549</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-231</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-5280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-4150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-4071</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-3260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-140</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r>
      <w:tr w:rsidR="008E583B" w:rsidRPr="008E0A90" w:rsidTr="008E583B">
        <w:trPr>
          <w:trHeight w:val="300"/>
        </w:trPr>
        <w:tc>
          <w:tcPr>
            <w:tcW w:w="3481" w:type="dxa"/>
            <w:tcBorders>
              <w:top w:val="nil"/>
              <w:left w:val="single" w:sz="8" w:space="0" w:color="auto"/>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Ajustements CT (erreurs et omissions nette)</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-2597</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1357</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900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-2100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-810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100</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sz w:val="18"/>
                <w:szCs w:val="18"/>
                <w:lang w:eastAsia="fr-FR"/>
              </w:rPr>
            </w:pPr>
            <w:r w:rsidRPr="00260051">
              <w:rPr>
                <w:rFonts w:eastAsia="Times New Roman" w:cs="Times New Roman"/>
                <w:sz w:val="18"/>
                <w:szCs w:val="18"/>
                <w:lang w:eastAsia="fr-FR"/>
              </w:rPr>
              <w:t>-820</w:t>
            </w:r>
          </w:p>
        </w:tc>
      </w:tr>
      <w:tr w:rsidR="008E583B" w:rsidRPr="008E0A90" w:rsidTr="008E583B">
        <w:trPr>
          <w:trHeight w:val="315"/>
        </w:trPr>
        <w:tc>
          <w:tcPr>
            <w:tcW w:w="3481" w:type="dxa"/>
            <w:tcBorders>
              <w:top w:val="nil"/>
              <w:left w:val="single" w:sz="8" w:space="0" w:color="auto"/>
              <w:bottom w:val="nil"/>
              <w:right w:val="single" w:sz="8" w:space="0" w:color="auto"/>
            </w:tcBorders>
            <w:shd w:val="clear" w:color="auto" w:fill="auto"/>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49"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c>
          <w:tcPr>
            <w:tcW w:w="850" w:type="dxa"/>
            <w:tcBorders>
              <w:top w:val="nil"/>
              <w:left w:val="nil"/>
              <w:bottom w:val="nil"/>
              <w:right w:val="single" w:sz="8" w:space="0" w:color="auto"/>
            </w:tcBorders>
            <w:shd w:val="clear" w:color="auto" w:fill="F7CAAC"/>
            <w:noWrap/>
            <w:vAlign w:val="bottom"/>
            <w:hideMark/>
          </w:tcPr>
          <w:p w:rsidR="008E583B" w:rsidRPr="00260051" w:rsidRDefault="008E583B" w:rsidP="002F26E1">
            <w:pPr>
              <w:spacing w:after="0" w:line="240" w:lineRule="auto"/>
              <w:rPr>
                <w:rFonts w:eastAsia="Times New Roman" w:cs="Times New Roman"/>
                <w:sz w:val="18"/>
                <w:szCs w:val="18"/>
                <w:lang w:eastAsia="fr-FR"/>
              </w:rPr>
            </w:pPr>
            <w:r w:rsidRPr="00260051">
              <w:rPr>
                <w:rFonts w:eastAsia="Times New Roman" w:cs="Times New Roman"/>
                <w:sz w:val="18"/>
                <w:szCs w:val="18"/>
                <w:lang w:eastAsia="fr-FR"/>
              </w:rPr>
              <w:t> </w:t>
            </w:r>
          </w:p>
        </w:tc>
      </w:tr>
      <w:tr w:rsidR="008E583B" w:rsidRPr="008E0A90" w:rsidTr="008E583B">
        <w:trPr>
          <w:trHeight w:val="315"/>
        </w:trPr>
        <w:tc>
          <w:tcPr>
            <w:tcW w:w="348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8E583B" w:rsidRPr="00260051" w:rsidRDefault="008E583B" w:rsidP="002F26E1">
            <w:pPr>
              <w:spacing w:after="0" w:line="240" w:lineRule="auto"/>
              <w:rPr>
                <w:rFonts w:eastAsia="Times New Roman" w:cs="Times New Roman"/>
                <w:b/>
                <w:bCs/>
                <w:sz w:val="18"/>
                <w:szCs w:val="18"/>
                <w:lang w:eastAsia="fr-FR"/>
              </w:rPr>
            </w:pPr>
            <w:r w:rsidRPr="00260051">
              <w:rPr>
                <w:rFonts w:eastAsia="Times New Roman" w:cs="Times New Roman"/>
                <w:b/>
                <w:bCs/>
                <w:sz w:val="18"/>
                <w:szCs w:val="18"/>
                <w:lang w:eastAsia="fr-FR"/>
              </w:rPr>
              <w:t>Solde balance des paiements</w:t>
            </w:r>
          </w:p>
        </w:tc>
        <w:tc>
          <w:tcPr>
            <w:tcW w:w="849" w:type="dxa"/>
            <w:tcBorders>
              <w:top w:val="single" w:sz="8" w:space="0" w:color="auto"/>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130</w:t>
            </w:r>
          </w:p>
        </w:tc>
        <w:tc>
          <w:tcPr>
            <w:tcW w:w="850" w:type="dxa"/>
            <w:tcBorders>
              <w:top w:val="single" w:sz="8" w:space="0" w:color="auto"/>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-5878</w:t>
            </w:r>
          </w:p>
        </w:tc>
        <w:tc>
          <w:tcPr>
            <w:tcW w:w="850" w:type="dxa"/>
            <w:tcBorders>
              <w:top w:val="single" w:sz="8" w:space="0" w:color="auto"/>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-27536</w:t>
            </w:r>
          </w:p>
        </w:tc>
        <w:tc>
          <w:tcPr>
            <w:tcW w:w="850" w:type="dxa"/>
            <w:tcBorders>
              <w:top w:val="single" w:sz="8" w:space="0" w:color="auto"/>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-25941</w:t>
            </w:r>
          </w:p>
        </w:tc>
        <w:tc>
          <w:tcPr>
            <w:tcW w:w="850" w:type="dxa"/>
            <w:tcBorders>
              <w:top w:val="single" w:sz="8" w:space="0" w:color="auto"/>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-21763</w:t>
            </w:r>
          </w:p>
        </w:tc>
        <w:tc>
          <w:tcPr>
            <w:tcW w:w="850" w:type="dxa"/>
            <w:tcBorders>
              <w:top w:val="single" w:sz="8" w:space="0" w:color="auto"/>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-15810</w:t>
            </w:r>
          </w:p>
        </w:tc>
        <w:tc>
          <w:tcPr>
            <w:tcW w:w="850" w:type="dxa"/>
            <w:tcBorders>
              <w:top w:val="single" w:sz="8" w:space="0" w:color="auto"/>
              <w:left w:val="nil"/>
              <w:bottom w:val="single" w:sz="8" w:space="0" w:color="auto"/>
              <w:right w:val="single" w:sz="8" w:space="0" w:color="auto"/>
            </w:tcBorders>
            <w:shd w:val="clear" w:color="auto" w:fill="F7CAAC"/>
            <w:noWrap/>
            <w:vAlign w:val="bottom"/>
            <w:hideMark/>
          </w:tcPr>
          <w:p w:rsidR="008E583B" w:rsidRPr="00260051" w:rsidRDefault="008E583B" w:rsidP="002F26E1">
            <w:pPr>
              <w:spacing w:after="0" w:line="240" w:lineRule="auto"/>
              <w:jc w:val="right"/>
              <w:rPr>
                <w:rFonts w:eastAsia="Times New Roman" w:cs="Times New Roman"/>
                <w:b/>
                <w:bCs/>
                <w:sz w:val="18"/>
                <w:szCs w:val="18"/>
                <w:lang w:eastAsia="fr-FR"/>
              </w:rPr>
            </w:pPr>
            <w:r w:rsidRPr="00260051">
              <w:rPr>
                <w:rFonts w:eastAsia="Times New Roman" w:cs="Times New Roman"/>
                <w:b/>
                <w:bCs/>
                <w:sz w:val="18"/>
                <w:szCs w:val="18"/>
                <w:lang w:eastAsia="fr-FR"/>
              </w:rPr>
              <w:t>-5890</w:t>
            </w:r>
          </w:p>
        </w:tc>
      </w:tr>
    </w:tbl>
    <w:p w:rsidR="006328A6" w:rsidRPr="004C23B6" w:rsidRDefault="008E583B" w:rsidP="004C23B6">
      <w:pPr>
        <w:jc w:val="both"/>
        <w:rPr>
          <w:sz w:val="20"/>
          <w:szCs w:val="20"/>
        </w:rPr>
      </w:pPr>
      <w:r w:rsidRPr="00284029">
        <w:rPr>
          <w:sz w:val="20"/>
          <w:szCs w:val="20"/>
        </w:rPr>
        <w:t>Source : Banque d’Algérie</w:t>
      </w:r>
      <w:r>
        <w:rPr>
          <w:sz w:val="20"/>
          <w:szCs w:val="20"/>
        </w:rPr>
        <w:t>.</w:t>
      </w:r>
    </w:p>
    <w:p w:rsidR="004C23B6" w:rsidRDefault="004C23B6" w:rsidP="00A546F3">
      <w:pPr>
        <w:jc w:val="center"/>
        <w:rPr>
          <w:b/>
          <w:bCs/>
        </w:rPr>
      </w:pPr>
    </w:p>
    <w:p w:rsidR="004C23B6" w:rsidRDefault="004C23B6" w:rsidP="00A546F3">
      <w:pPr>
        <w:jc w:val="center"/>
        <w:rPr>
          <w:b/>
          <w:bCs/>
        </w:rPr>
      </w:pPr>
    </w:p>
    <w:p w:rsidR="004C23B6" w:rsidRDefault="004C23B6" w:rsidP="00A546F3">
      <w:pPr>
        <w:jc w:val="center"/>
        <w:rPr>
          <w:b/>
          <w:bCs/>
        </w:rPr>
      </w:pPr>
    </w:p>
    <w:p w:rsidR="004C23B6" w:rsidRDefault="004C23B6" w:rsidP="00A546F3">
      <w:pPr>
        <w:jc w:val="center"/>
        <w:rPr>
          <w:b/>
          <w:bCs/>
        </w:rPr>
      </w:pPr>
    </w:p>
    <w:p w:rsidR="004C23B6" w:rsidRDefault="004C23B6" w:rsidP="00A546F3">
      <w:pPr>
        <w:jc w:val="center"/>
        <w:rPr>
          <w:b/>
          <w:bCs/>
        </w:rPr>
      </w:pPr>
    </w:p>
    <w:p w:rsidR="004C23B6" w:rsidRDefault="004C23B6" w:rsidP="00A546F3">
      <w:pPr>
        <w:jc w:val="center"/>
        <w:rPr>
          <w:b/>
          <w:bCs/>
        </w:rPr>
      </w:pPr>
    </w:p>
    <w:p w:rsidR="004C23B6" w:rsidRDefault="004C23B6" w:rsidP="00A546F3">
      <w:pPr>
        <w:jc w:val="center"/>
        <w:rPr>
          <w:b/>
          <w:bCs/>
        </w:rPr>
      </w:pPr>
    </w:p>
    <w:p w:rsidR="004C23B6" w:rsidRDefault="004C23B6" w:rsidP="00A546F3">
      <w:pPr>
        <w:jc w:val="center"/>
        <w:rPr>
          <w:b/>
          <w:bCs/>
        </w:rPr>
      </w:pPr>
    </w:p>
    <w:p w:rsidR="004C23B6" w:rsidRDefault="004C23B6" w:rsidP="00A546F3">
      <w:pPr>
        <w:jc w:val="center"/>
        <w:rPr>
          <w:b/>
          <w:bCs/>
        </w:rPr>
      </w:pPr>
    </w:p>
    <w:p w:rsidR="00A546F3" w:rsidRDefault="00A546F3" w:rsidP="00A546F3">
      <w:pPr>
        <w:jc w:val="center"/>
        <w:rPr>
          <w:b/>
          <w:bCs/>
        </w:rPr>
      </w:pPr>
      <w:r w:rsidRPr="00A546F3">
        <w:rPr>
          <w:b/>
          <w:bCs/>
        </w:rPr>
        <w:lastRenderedPageBreak/>
        <w:t>Tab N°5- Variation (%) de l’indice</w:t>
      </w:r>
    </w:p>
    <w:p w:rsidR="008E583B" w:rsidRPr="004C23B6" w:rsidRDefault="00A546F3" w:rsidP="004C23B6">
      <w:pPr>
        <w:jc w:val="center"/>
        <w:rPr>
          <w:b/>
          <w:bCs/>
        </w:rPr>
      </w:pPr>
      <w:r w:rsidRPr="00A546F3">
        <w:rPr>
          <w:b/>
          <w:bCs/>
        </w:rPr>
        <w:t>des prix à la consommation   (base 100=2001)</w:t>
      </w:r>
    </w:p>
    <w:p w:rsidR="008E583B" w:rsidRPr="00284029" w:rsidRDefault="008E583B" w:rsidP="008E583B">
      <w:pPr>
        <w:jc w:val="center"/>
        <w:rPr>
          <w:b/>
          <w:bCs/>
        </w:rPr>
      </w:pPr>
      <w:r w:rsidRPr="00284029">
        <w:rPr>
          <w:b/>
          <w:bCs/>
        </w:rPr>
        <w:t>Tab N°5- Variation (%) de l’indice des prix à la consommation   (base 100=2001)</w:t>
      </w:r>
    </w:p>
    <w:tbl>
      <w:tblPr>
        <w:tblW w:w="9072" w:type="dxa"/>
        <w:tblInd w:w="70" w:type="dxa"/>
        <w:tblLayout w:type="fixed"/>
        <w:tblCellMar>
          <w:left w:w="70" w:type="dxa"/>
          <w:right w:w="70" w:type="dxa"/>
        </w:tblCellMar>
        <w:tblLook w:val="04A0" w:firstRow="1" w:lastRow="0" w:firstColumn="1" w:lastColumn="0" w:noHBand="0" w:noVBand="1"/>
      </w:tblPr>
      <w:tblGrid>
        <w:gridCol w:w="3261"/>
        <w:gridCol w:w="830"/>
        <w:gridCol w:w="830"/>
        <w:gridCol w:w="830"/>
        <w:gridCol w:w="830"/>
        <w:gridCol w:w="830"/>
        <w:gridCol w:w="830"/>
        <w:gridCol w:w="831"/>
      </w:tblGrid>
      <w:tr w:rsidR="008E583B" w:rsidRPr="008E0A90" w:rsidTr="008E583B">
        <w:trPr>
          <w:trHeight w:val="315"/>
        </w:trPr>
        <w:tc>
          <w:tcPr>
            <w:tcW w:w="3261" w:type="dxa"/>
            <w:tcBorders>
              <w:top w:val="nil"/>
              <w:left w:val="nil"/>
              <w:bottom w:val="single" w:sz="8" w:space="0" w:color="auto"/>
              <w:right w:val="single" w:sz="8" w:space="0" w:color="auto"/>
            </w:tcBorders>
            <w:shd w:val="clear" w:color="auto" w:fill="auto"/>
            <w:noWrap/>
            <w:vAlign w:val="bottom"/>
            <w:hideMark/>
          </w:tcPr>
          <w:p w:rsidR="008E583B" w:rsidRPr="00C9265C" w:rsidRDefault="008E583B" w:rsidP="002F26E1">
            <w:pPr>
              <w:spacing w:after="0" w:line="240" w:lineRule="auto"/>
              <w:rPr>
                <w:rFonts w:eastAsia="Times New Roman" w:cs="Times New Roman"/>
                <w:color w:val="000000"/>
                <w:lang w:eastAsia="fr-FR"/>
              </w:rPr>
            </w:pPr>
            <w:r w:rsidRPr="00C9265C">
              <w:rPr>
                <w:rFonts w:eastAsia="Times New Roman" w:cs="Times New Roman"/>
                <w:color w:val="000000"/>
                <w:lang w:eastAsia="fr-FR"/>
              </w:rPr>
              <w:t> </w:t>
            </w:r>
          </w:p>
        </w:tc>
        <w:tc>
          <w:tcPr>
            <w:tcW w:w="830" w:type="dxa"/>
            <w:tcBorders>
              <w:top w:val="single" w:sz="8" w:space="0" w:color="auto"/>
              <w:left w:val="nil"/>
              <w:bottom w:val="single" w:sz="8" w:space="0" w:color="auto"/>
              <w:right w:val="single" w:sz="8" w:space="0" w:color="auto"/>
            </w:tcBorders>
            <w:shd w:val="clear" w:color="auto" w:fill="FFFF00"/>
            <w:noWrap/>
            <w:vAlign w:val="center"/>
            <w:hideMark/>
          </w:tcPr>
          <w:p w:rsidR="008E583B" w:rsidRPr="00C9265C" w:rsidRDefault="008E583B" w:rsidP="002F26E1">
            <w:pPr>
              <w:spacing w:after="0" w:line="240" w:lineRule="auto"/>
              <w:jc w:val="center"/>
              <w:rPr>
                <w:rFonts w:eastAsia="Times New Roman" w:cs="Times New Roman"/>
                <w:b/>
                <w:bCs/>
                <w:color w:val="000000"/>
                <w:lang w:eastAsia="fr-FR"/>
              </w:rPr>
            </w:pPr>
            <w:r w:rsidRPr="00C9265C">
              <w:rPr>
                <w:rFonts w:eastAsia="Times New Roman" w:cs="Times New Roman"/>
                <w:b/>
                <w:bCs/>
                <w:color w:val="000000"/>
                <w:lang w:eastAsia="fr-FR"/>
              </w:rPr>
              <w:t>2013</w:t>
            </w:r>
          </w:p>
        </w:tc>
        <w:tc>
          <w:tcPr>
            <w:tcW w:w="830" w:type="dxa"/>
            <w:tcBorders>
              <w:top w:val="single" w:sz="8" w:space="0" w:color="auto"/>
              <w:left w:val="nil"/>
              <w:bottom w:val="single" w:sz="8" w:space="0" w:color="auto"/>
              <w:right w:val="single" w:sz="8" w:space="0" w:color="auto"/>
            </w:tcBorders>
            <w:shd w:val="clear" w:color="auto" w:fill="FFFF00"/>
            <w:noWrap/>
            <w:vAlign w:val="center"/>
            <w:hideMark/>
          </w:tcPr>
          <w:p w:rsidR="008E583B" w:rsidRPr="00C9265C" w:rsidRDefault="008E583B" w:rsidP="002F26E1">
            <w:pPr>
              <w:spacing w:after="0" w:line="240" w:lineRule="auto"/>
              <w:jc w:val="center"/>
              <w:rPr>
                <w:rFonts w:eastAsia="Times New Roman" w:cs="Times New Roman"/>
                <w:b/>
                <w:bCs/>
                <w:color w:val="000000"/>
                <w:lang w:eastAsia="fr-FR"/>
              </w:rPr>
            </w:pPr>
            <w:r w:rsidRPr="00C9265C">
              <w:rPr>
                <w:rFonts w:eastAsia="Times New Roman" w:cs="Times New Roman"/>
                <w:b/>
                <w:bCs/>
                <w:color w:val="000000"/>
                <w:lang w:eastAsia="fr-FR"/>
              </w:rPr>
              <w:t>2014</w:t>
            </w:r>
          </w:p>
        </w:tc>
        <w:tc>
          <w:tcPr>
            <w:tcW w:w="830" w:type="dxa"/>
            <w:tcBorders>
              <w:top w:val="single" w:sz="8" w:space="0" w:color="auto"/>
              <w:left w:val="nil"/>
              <w:bottom w:val="single" w:sz="8" w:space="0" w:color="auto"/>
              <w:right w:val="single" w:sz="8" w:space="0" w:color="auto"/>
            </w:tcBorders>
            <w:shd w:val="clear" w:color="auto" w:fill="FFFF00"/>
            <w:noWrap/>
            <w:vAlign w:val="center"/>
            <w:hideMark/>
          </w:tcPr>
          <w:p w:rsidR="008E583B" w:rsidRPr="00C9265C" w:rsidRDefault="008E583B" w:rsidP="002F26E1">
            <w:pPr>
              <w:spacing w:after="0" w:line="240" w:lineRule="auto"/>
              <w:jc w:val="center"/>
              <w:rPr>
                <w:rFonts w:eastAsia="Times New Roman" w:cs="Times New Roman"/>
                <w:b/>
                <w:bCs/>
                <w:color w:val="000000"/>
                <w:lang w:eastAsia="fr-FR"/>
              </w:rPr>
            </w:pPr>
            <w:r w:rsidRPr="00C9265C">
              <w:rPr>
                <w:rFonts w:eastAsia="Times New Roman" w:cs="Times New Roman"/>
                <w:b/>
                <w:bCs/>
                <w:color w:val="000000"/>
                <w:lang w:eastAsia="fr-FR"/>
              </w:rPr>
              <w:t>2015</w:t>
            </w:r>
          </w:p>
        </w:tc>
        <w:tc>
          <w:tcPr>
            <w:tcW w:w="830" w:type="dxa"/>
            <w:tcBorders>
              <w:top w:val="single" w:sz="8" w:space="0" w:color="auto"/>
              <w:left w:val="nil"/>
              <w:bottom w:val="single" w:sz="8" w:space="0" w:color="auto"/>
              <w:right w:val="single" w:sz="8" w:space="0" w:color="auto"/>
            </w:tcBorders>
            <w:shd w:val="clear" w:color="auto" w:fill="FFFF00"/>
            <w:noWrap/>
            <w:vAlign w:val="center"/>
            <w:hideMark/>
          </w:tcPr>
          <w:p w:rsidR="008E583B" w:rsidRPr="00C9265C" w:rsidRDefault="008E583B" w:rsidP="002F26E1">
            <w:pPr>
              <w:spacing w:after="0" w:line="240" w:lineRule="auto"/>
              <w:jc w:val="center"/>
              <w:rPr>
                <w:rFonts w:eastAsia="Times New Roman" w:cs="Times New Roman"/>
                <w:b/>
                <w:bCs/>
                <w:color w:val="000000"/>
                <w:lang w:eastAsia="fr-FR"/>
              </w:rPr>
            </w:pPr>
            <w:r w:rsidRPr="00C9265C">
              <w:rPr>
                <w:rFonts w:eastAsia="Times New Roman" w:cs="Times New Roman"/>
                <w:b/>
                <w:bCs/>
                <w:color w:val="000000"/>
                <w:lang w:eastAsia="fr-FR"/>
              </w:rPr>
              <w:t>2016</w:t>
            </w:r>
          </w:p>
        </w:tc>
        <w:tc>
          <w:tcPr>
            <w:tcW w:w="830" w:type="dxa"/>
            <w:tcBorders>
              <w:top w:val="single" w:sz="8" w:space="0" w:color="auto"/>
              <w:left w:val="nil"/>
              <w:bottom w:val="single" w:sz="8" w:space="0" w:color="auto"/>
              <w:right w:val="single" w:sz="8" w:space="0" w:color="auto"/>
            </w:tcBorders>
            <w:shd w:val="clear" w:color="auto" w:fill="FFFF00"/>
            <w:noWrap/>
            <w:vAlign w:val="center"/>
            <w:hideMark/>
          </w:tcPr>
          <w:p w:rsidR="008E583B" w:rsidRPr="00C9265C" w:rsidRDefault="008E583B" w:rsidP="002F26E1">
            <w:pPr>
              <w:spacing w:after="0" w:line="240" w:lineRule="auto"/>
              <w:jc w:val="center"/>
              <w:rPr>
                <w:rFonts w:eastAsia="Times New Roman" w:cs="Times New Roman"/>
                <w:b/>
                <w:bCs/>
                <w:color w:val="000000"/>
                <w:lang w:eastAsia="fr-FR"/>
              </w:rPr>
            </w:pPr>
            <w:r w:rsidRPr="00C9265C">
              <w:rPr>
                <w:rFonts w:eastAsia="Times New Roman" w:cs="Times New Roman"/>
                <w:b/>
                <w:bCs/>
                <w:color w:val="000000"/>
                <w:lang w:eastAsia="fr-FR"/>
              </w:rPr>
              <w:t>2017</w:t>
            </w:r>
          </w:p>
        </w:tc>
        <w:tc>
          <w:tcPr>
            <w:tcW w:w="830" w:type="dxa"/>
            <w:tcBorders>
              <w:top w:val="single" w:sz="8" w:space="0" w:color="auto"/>
              <w:left w:val="nil"/>
              <w:bottom w:val="single" w:sz="8" w:space="0" w:color="auto"/>
              <w:right w:val="single" w:sz="8" w:space="0" w:color="auto"/>
            </w:tcBorders>
            <w:shd w:val="clear" w:color="auto" w:fill="FFFF00"/>
            <w:noWrap/>
            <w:vAlign w:val="center"/>
            <w:hideMark/>
          </w:tcPr>
          <w:p w:rsidR="008E583B" w:rsidRPr="00C9265C" w:rsidRDefault="008E583B" w:rsidP="002F26E1">
            <w:pPr>
              <w:spacing w:after="0" w:line="240" w:lineRule="auto"/>
              <w:jc w:val="center"/>
              <w:rPr>
                <w:rFonts w:eastAsia="Times New Roman" w:cs="Times New Roman"/>
                <w:b/>
                <w:bCs/>
                <w:color w:val="000000"/>
                <w:lang w:eastAsia="fr-FR"/>
              </w:rPr>
            </w:pPr>
            <w:r w:rsidRPr="00C9265C">
              <w:rPr>
                <w:rFonts w:eastAsia="Times New Roman" w:cs="Times New Roman"/>
                <w:b/>
                <w:bCs/>
                <w:color w:val="000000"/>
                <w:lang w:eastAsia="fr-FR"/>
              </w:rPr>
              <w:t>2018</w:t>
            </w:r>
          </w:p>
        </w:tc>
        <w:tc>
          <w:tcPr>
            <w:tcW w:w="831" w:type="dxa"/>
            <w:tcBorders>
              <w:top w:val="single" w:sz="8" w:space="0" w:color="auto"/>
              <w:left w:val="nil"/>
              <w:bottom w:val="single" w:sz="8" w:space="0" w:color="auto"/>
              <w:right w:val="single" w:sz="8" w:space="0" w:color="auto"/>
            </w:tcBorders>
            <w:shd w:val="clear" w:color="auto" w:fill="FFFF00"/>
            <w:noWrap/>
            <w:vAlign w:val="center"/>
            <w:hideMark/>
          </w:tcPr>
          <w:p w:rsidR="008E583B" w:rsidRPr="00C9265C" w:rsidRDefault="00A546F3" w:rsidP="002F26E1">
            <w:pPr>
              <w:spacing w:after="0" w:line="240" w:lineRule="auto"/>
              <w:jc w:val="center"/>
              <w:rPr>
                <w:rFonts w:eastAsia="Times New Roman" w:cs="Times New Roman"/>
                <w:b/>
                <w:bCs/>
                <w:color w:val="000000"/>
                <w:sz w:val="18"/>
                <w:szCs w:val="18"/>
                <w:lang w:eastAsia="fr-FR"/>
              </w:rPr>
            </w:pPr>
            <w:r>
              <w:rPr>
                <w:rFonts w:eastAsia="Times New Roman" w:cs="Times New Roman"/>
                <w:b/>
                <w:bCs/>
                <w:color w:val="000000"/>
                <w:sz w:val="18"/>
                <w:szCs w:val="18"/>
                <w:lang w:eastAsia="fr-FR"/>
              </w:rPr>
              <w:t xml:space="preserve"> 2019</w:t>
            </w:r>
          </w:p>
        </w:tc>
      </w:tr>
      <w:tr w:rsidR="008E583B" w:rsidRPr="008E0A90" w:rsidTr="008E583B">
        <w:trPr>
          <w:trHeight w:val="420"/>
        </w:trPr>
        <w:tc>
          <w:tcPr>
            <w:tcW w:w="3261" w:type="dxa"/>
            <w:tcBorders>
              <w:top w:val="nil"/>
              <w:left w:val="single" w:sz="8" w:space="0" w:color="auto"/>
              <w:bottom w:val="single" w:sz="8" w:space="0" w:color="auto"/>
              <w:right w:val="single" w:sz="8" w:space="0" w:color="auto"/>
            </w:tcBorders>
            <w:shd w:val="clear" w:color="000000" w:fill="FFFF00"/>
            <w:vAlign w:val="center"/>
            <w:hideMark/>
          </w:tcPr>
          <w:p w:rsidR="008E583B" w:rsidRPr="00C9265C" w:rsidRDefault="008E583B" w:rsidP="002F26E1">
            <w:pPr>
              <w:spacing w:after="0" w:line="240" w:lineRule="auto"/>
              <w:jc w:val="center"/>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Ensemble</w:t>
            </w:r>
          </w:p>
        </w:tc>
        <w:tc>
          <w:tcPr>
            <w:tcW w:w="830" w:type="dxa"/>
            <w:tcBorders>
              <w:top w:val="single" w:sz="8" w:space="0" w:color="auto"/>
              <w:left w:val="nil"/>
              <w:bottom w:val="single" w:sz="8" w:space="0" w:color="auto"/>
              <w:right w:val="single" w:sz="8" w:space="0" w:color="auto"/>
            </w:tcBorders>
            <w:shd w:val="clear" w:color="000000"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3,25</w:t>
            </w:r>
          </w:p>
        </w:tc>
        <w:tc>
          <w:tcPr>
            <w:tcW w:w="830" w:type="dxa"/>
            <w:tcBorders>
              <w:top w:val="single" w:sz="8" w:space="0" w:color="auto"/>
              <w:left w:val="nil"/>
              <w:bottom w:val="single" w:sz="8" w:space="0" w:color="auto"/>
              <w:right w:val="single" w:sz="8" w:space="0" w:color="auto"/>
            </w:tcBorders>
            <w:shd w:val="clear" w:color="000000"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2,92</w:t>
            </w:r>
          </w:p>
        </w:tc>
        <w:tc>
          <w:tcPr>
            <w:tcW w:w="830" w:type="dxa"/>
            <w:tcBorders>
              <w:top w:val="single" w:sz="8" w:space="0" w:color="auto"/>
              <w:left w:val="nil"/>
              <w:bottom w:val="single" w:sz="8" w:space="0" w:color="auto"/>
              <w:right w:val="single" w:sz="8" w:space="0" w:color="auto"/>
            </w:tcBorders>
            <w:shd w:val="clear" w:color="000000"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4,78</w:t>
            </w:r>
          </w:p>
        </w:tc>
        <w:tc>
          <w:tcPr>
            <w:tcW w:w="830" w:type="dxa"/>
            <w:tcBorders>
              <w:top w:val="single" w:sz="8" w:space="0" w:color="auto"/>
              <w:left w:val="nil"/>
              <w:bottom w:val="single" w:sz="8" w:space="0" w:color="auto"/>
              <w:right w:val="single" w:sz="8" w:space="0" w:color="auto"/>
            </w:tcBorders>
            <w:shd w:val="clear" w:color="000000"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6,40</w:t>
            </w:r>
          </w:p>
        </w:tc>
        <w:tc>
          <w:tcPr>
            <w:tcW w:w="830" w:type="dxa"/>
            <w:tcBorders>
              <w:top w:val="single" w:sz="8" w:space="0" w:color="auto"/>
              <w:left w:val="nil"/>
              <w:bottom w:val="single" w:sz="8" w:space="0" w:color="auto"/>
              <w:right w:val="single" w:sz="8" w:space="0" w:color="auto"/>
            </w:tcBorders>
            <w:shd w:val="clear" w:color="000000"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5,59</w:t>
            </w:r>
          </w:p>
        </w:tc>
        <w:tc>
          <w:tcPr>
            <w:tcW w:w="830" w:type="dxa"/>
            <w:tcBorders>
              <w:top w:val="single" w:sz="8" w:space="0" w:color="auto"/>
              <w:left w:val="nil"/>
              <w:bottom w:val="single" w:sz="8" w:space="0" w:color="auto"/>
              <w:right w:val="single" w:sz="8" w:space="0" w:color="auto"/>
            </w:tcBorders>
            <w:shd w:val="clear" w:color="000000"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4,27</w:t>
            </w:r>
          </w:p>
        </w:tc>
        <w:tc>
          <w:tcPr>
            <w:tcW w:w="831" w:type="dxa"/>
            <w:tcBorders>
              <w:top w:val="single" w:sz="8" w:space="0" w:color="auto"/>
              <w:left w:val="nil"/>
              <w:bottom w:val="single" w:sz="8" w:space="0" w:color="auto"/>
              <w:right w:val="single" w:sz="8" w:space="0" w:color="auto"/>
            </w:tcBorders>
            <w:shd w:val="clear" w:color="000000" w:fill="F7CAAC"/>
            <w:vAlign w:val="center"/>
            <w:hideMark/>
          </w:tcPr>
          <w:p w:rsidR="008E583B" w:rsidRPr="00C9265C" w:rsidRDefault="00A546F3" w:rsidP="002F26E1">
            <w:pPr>
              <w:spacing w:after="0" w:line="240" w:lineRule="auto"/>
              <w:jc w:val="right"/>
              <w:rPr>
                <w:rFonts w:eastAsia="Times New Roman" w:cs="Times New Roman"/>
                <w:b/>
                <w:bCs/>
                <w:color w:val="000000"/>
                <w:sz w:val="18"/>
                <w:szCs w:val="18"/>
                <w:lang w:eastAsia="fr-FR"/>
              </w:rPr>
            </w:pPr>
            <w:r>
              <w:rPr>
                <w:rFonts w:eastAsia="Times New Roman" w:cs="Times New Roman"/>
                <w:b/>
                <w:bCs/>
                <w:color w:val="000000"/>
                <w:sz w:val="18"/>
                <w:szCs w:val="18"/>
                <w:lang w:eastAsia="fr-FR"/>
              </w:rPr>
              <w:t>1,95</w:t>
            </w:r>
          </w:p>
        </w:tc>
      </w:tr>
      <w:tr w:rsidR="008E583B" w:rsidRPr="008E0A90" w:rsidTr="008E583B">
        <w:trPr>
          <w:trHeight w:val="420"/>
        </w:trPr>
        <w:tc>
          <w:tcPr>
            <w:tcW w:w="3261" w:type="dxa"/>
            <w:tcBorders>
              <w:top w:val="nil"/>
              <w:left w:val="single" w:sz="8" w:space="0" w:color="auto"/>
              <w:bottom w:val="nil"/>
              <w:right w:val="single" w:sz="8" w:space="0" w:color="auto"/>
            </w:tcBorders>
            <w:shd w:val="clear" w:color="000000" w:fill="FFFF00"/>
            <w:vAlign w:val="center"/>
            <w:hideMark/>
          </w:tcPr>
          <w:p w:rsidR="008E583B" w:rsidRPr="00E85B10" w:rsidRDefault="008E583B" w:rsidP="002F26E1">
            <w:pPr>
              <w:spacing w:after="0" w:line="240" w:lineRule="auto"/>
              <w:rPr>
                <w:rFonts w:eastAsia="Times New Roman" w:cs="Times New Roman"/>
                <w:color w:val="000000"/>
                <w:sz w:val="18"/>
                <w:szCs w:val="18"/>
                <w:lang w:eastAsia="fr-FR"/>
              </w:rPr>
            </w:pPr>
            <w:r w:rsidRPr="00E85B10">
              <w:rPr>
                <w:rFonts w:eastAsia="Times New Roman" w:cs="Times New Roman"/>
                <w:color w:val="000000"/>
                <w:sz w:val="18"/>
                <w:szCs w:val="18"/>
                <w:lang w:eastAsia="fr-FR"/>
              </w:rPr>
              <w:t>Alimentation – Boissons non alcoolisées</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3,18</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3,90</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4,70</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3,39</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5,01</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3,38</w:t>
            </w:r>
          </w:p>
        </w:tc>
        <w:tc>
          <w:tcPr>
            <w:tcW w:w="831" w:type="dxa"/>
            <w:tcBorders>
              <w:top w:val="nil"/>
              <w:left w:val="nil"/>
              <w:bottom w:val="nil"/>
              <w:right w:val="single" w:sz="8" w:space="0" w:color="auto"/>
            </w:tcBorders>
            <w:shd w:val="clear" w:color="000000" w:fill="F7CAAC"/>
            <w:vAlign w:val="center"/>
            <w:hideMark/>
          </w:tcPr>
          <w:p w:rsidR="008E583B" w:rsidRPr="00E85B10" w:rsidRDefault="00A546F3" w:rsidP="002F26E1">
            <w:pPr>
              <w:spacing w:after="0" w:line="240" w:lineRule="auto"/>
              <w:jc w:val="right"/>
              <w:rPr>
                <w:rFonts w:eastAsia="Times New Roman" w:cs="Times New Roman"/>
                <w:color w:val="000000"/>
                <w:sz w:val="18"/>
                <w:szCs w:val="18"/>
                <w:lang w:eastAsia="fr-FR"/>
              </w:rPr>
            </w:pPr>
            <w:r>
              <w:rPr>
                <w:rFonts w:eastAsia="Times New Roman" w:cs="Times New Roman"/>
                <w:color w:val="000000"/>
                <w:sz w:val="18"/>
                <w:szCs w:val="18"/>
                <w:lang w:eastAsia="fr-FR"/>
              </w:rPr>
              <w:t>-0,56</w:t>
            </w:r>
          </w:p>
        </w:tc>
      </w:tr>
      <w:tr w:rsidR="008E583B" w:rsidRPr="008E0A90" w:rsidTr="008E583B">
        <w:trPr>
          <w:trHeight w:val="420"/>
        </w:trPr>
        <w:tc>
          <w:tcPr>
            <w:tcW w:w="3261" w:type="dxa"/>
            <w:tcBorders>
              <w:top w:val="nil"/>
              <w:left w:val="single" w:sz="8" w:space="0" w:color="auto"/>
              <w:bottom w:val="nil"/>
              <w:right w:val="single" w:sz="8" w:space="0" w:color="auto"/>
            </w:tcBorders>
            <w:shd w:val="clear" w:color="000000" w:fill="FFFF00"/>
            <w:vAlign w:val="center"/>
            <w:hideMark/>
          </w:tcPr>
          <w:p w:rsidR="008E583B" w:rsidRPr="00E85B10" w:rsidRDefault="008E583B" w:rsidP="002F26E1">
            <w:pPr>
              <w:spacing w:after="0" w:line="240" w:lineRule="auto"/>
              <w:rPr>
                <w:rFonts w:eastAsia="Times New Roman" w:cs="Times New Roman"/>
                <w:color w:val="000000"/>
                <w:sz w:val="18"/>
                <w:szCs w:val="18"/>
                <w:lang w:eastAsia="fr-FR"/>
              </w:rPr>
            </w:pPr>
            <w:r w:rsidRPr="00E85B10">
              <w:rPr>
                <w:rFonts w:eastAsia="Times New Roman" w:cs="Times New Roman"/>
                <w:color w:val="000000"/>
                <w:sz w:val="18"/>
                <w:szCs w:val="18"/>
                <w:lang w:eastAsia="fr-FR"/>
              </w:rPr>
              <w:t>Habillement –Chaussures</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7,79</w:t>
            </w:r>
          </w:p>
        </w:tc>
        <w:tc>
          <w:tcPr>
            <w:tcW w:w="830" w:type="dxa"/>
            <w:tcBorders>
              <w:top w:val="nil"/>
              <w:left w:val="nil"/>
              <w:bottom w:val="nil"/>
              <w:right w:val="nil"/>
            </w:tcBorders>
            <w:shd w:val="clear" w:color="000000" w:fill="F7CAAC"/>
            <w:noWrap/>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7,14</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8,68</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13,74</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8,88</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5,50</w:t>
            </w:r>
          </w:p>
        </w:tc>
        <w:tc>
          <w:tcPr>
            <w:tcW w:w="831" w:type="dxa"/>
            <w:tcBorders>
              <w:top w:val="nil"/>
              <w:left w:val="nil"/>
              <w:bottom w:val="nil"/>
              <w:right w:val="single" w:sz="8" w:space="0" w:color="auto"/>
            </w:tcBorders>
            <w:shd w:val="clear" w:color="000000" w:fill="F7CAAC"/>
            <w:vAlign w:val="center"/>
            <w:hideMark/>
          </w:tcPr>
          <w:p w:rsidR="008E583B" w:rsidRPr="00E85B10" w:rsidRDefault="00A546F3" w:rsidP="002F26E1">
            <w:pPr>
              <w:spacing w:after="0" w:line="240" w:lineRule="auto"/>
              <w:jc w:val="right"/>
              <w:rPr>
                <w:rFonts w:eastAsia="Times New Roman" w:cs="Times New Roman"/>
                <w:color w:val="000000"/>
                <w:sz w:val="18"/>
                <w:szCs w:val="18"/>
                <w:lang w:eastAsia="fr-FR"/>
              </w:rPr>
            </w:pPr>
            <w:r>
              <w:rPr>
                <w:rFonts w:eastAsia="Times New Roman" w:cs="Times New Roman"/>
                <w:color w:val="000000"/>
                <w:sz w:val="18"/>
                <w:szCs w:val="18"/>
                <w:lang w:eastAsia="fr-FR"/>
              </w:rPr>
              <w:t>6,61</w:t>
            </w:r>
          </w:p>
        </w:tc>
      </w:tr>
      <w:tr w:rsidR="008E583B" w:rsidRPr="008E0A90" w:rsidTr="008E583B">
        <w:trPr>
          <w:trHeight w:val="420"/>
        </w:trPr>
        <w:tc>
          <w:tcPr>
            <w:tcW w:w="3261" w:type="dxa"/>
            <w:tcBorders>
              <w:top w:val="nil"/>
              <w:left w:val="single" w:sz="8" w:space="0" w:color="auto"/>
              <w:bottom w:val="nil"/>
              <w:right w:val="single" w:sz="8" w:space="0" w:color="auto"/>
            </w:tcBorders>
            <w:shd w:val="clear" w:color="000000" w:fill="FFFF00"/>
            <w:vAlign w:val="center"/>
            <w:hideMark/>
          </w:tcPr>
          <w:p w:rsidR="008E583B" w:rsidRPr="00E85B10" w:rsidRDefault="008E583B" w:rsidP="002F26E1">
            <w:pPr>
              <w:spacing w:after="0" w:line="240" w:lineRule="auto"/>
              <w:rPr>
                <w:rFonts w:eastAsia="Times New Roman" w:cs="Times New Roman"/>
                <w:color w:val="000000"/>
                <w:sz w:val="18"/>
                <w:szCs w:val="18"/>
                <w:lang w:eastAsia="fr-FR"/>
              </w:rPr>
            </w:pPr>
            <w:r w:rsidRPr="00E85B10">
              <w:rPr>
                <w:rFonts w:eastAsia="Times New Roman" w:cs="Times New Roman"/>
                <w:color w:val="000000"/>
                <w:sz w:val="18"/>
                <w:szCs w:val="18"/>
                <w:lang w:eastAsia="fr-FR"/>
              </w:rPr>
              <w:t>Logement –Charges</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1,59</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1,30</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1,28</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6,35</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2,33</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0,89</w:t>
            </w:r>
          </w:p>
        </w:tc>
        <w:tc>
          <w:tcPr>
            <w:tcW w:w="831" w:type="dxa"/>
            <w:tcBorders>
              <w:top w:val="nil"/>
              <w:left w:val="nil"/>
              <w:bottom w:val="nil"/>
              <w:right w:val="single" w:sz="8" w:space="0" w:color="auto"/>
            </w:tcBorders>
            <w:shd w:val="clear" w:color="000000" w:fill="F7CAAC"/>
            <w:vAlign w:val="center"/>
            <w:hideMark/>
          </w:tcPr>
          <w:p w:rsidR="008E583B" w:rsidRPr="00E85B10" w:rsidRDefault="00A546F3" w:rsidP="002F26E1">
            <w:pPr>
              <w:spacing w:after="0" w:line="240" w:lineRule="auto"/>
              <w:jc w:val="right"/>
              <w:rPr>
                <w:rFonts w:eastAsia="Times New Roman" w:cs="Times New Roman"/>
                <w:color w:val="000000"/>
                <w:sz w:val="18"/>
                <w:szCs w:val="18"/>
                <w:lang w:eastAsia="fr-FR"/>
              </w:rPr>
            </w:pPr>
            <w:r>
              <w:rPr>
                <w:rFonts w:eastAsia="Times New Roman" w:cs="Times New Roman"/>
                <w:color w:val="000000"/>
                <w:sz w:val="18"/>
                <w:szCs w:val="18"/>
                <w:lang w:eastAsia="fr-FR"/>
              </w:rPr>
              <w:t>1,51</w:t>
            </w:r>
          </w:p>
        </w:tc>
      </w:tr>
      <w:tr w:rsidR="008E583B" w:rsidRPr="008E0A90" w:rsidTr="008E583B">
        <w:trPr>
          <w:trHeight w:val="420"/>
        </w:trPr>
        <w:tc>
          <w:tcPr>
            <w:tcW w:w="3261" w:type="dxa"/>
            <w:tcBorders>
              <w:top w:val="nil"/>
              <w:left w:val="single" w:sz="8" w:space="0" w:color="auto"/>
              <w:bottom w:val="nil"/>
              <w:right w:val="single" w:sz="8" w:space="0" w:color="auto"/>
            </w:tcBorders>
            <w:shd w:val="clear" w:color="000000" w:fill="FFFF00"/>
            <w:vAlign w:val="center"/>
            <w:hideMark/>
          </w:tcPr>
          <w:p w:rsidR="008E583B" w:rsidRPr="00E85B10" w:rsidRDefault="008E583B" w:rsidP="002F26E1">
            <w:pPr>
              <w:spacing w:after="0" w:line="240" w:lineRule="auto"/>
              <w:rPr>
                <w:rFonts w:eastAsia="Times New Roman" w:cs="Times New Roman"/>
                <w:color w:val="000000"/>
                <w:sz w:val="18"/>
                <w:szCs w:val="18"/>
                <w:lang w:eastAsia="fr-FR"/>
              </w:rPr>
            </w:pPr>
            <w:r w:rsidRPr="00E85B10">
              <w:rPr>
                <w:rFonts w:eastAsia="Times New Roman" w:cs="Times New Roman"/>
                <w:color w:val="000000"/>
                <w:sz w:val="18"/>
                <w:szCs w:val="18"/>
                <w:lang w:eastAsia="fr-FR"/>
              </w:rPr>
              <w:t>Meubles et Articles d’Ameublement</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2,68</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3,60</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4,41</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5,28</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4,21</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5,38</w:t>
            </w:r>
          </w:p>
        </w:tc>
        <w:tc>
          <w:tcPr>
            <w:tcW w:w="831" w:type="dxa"/>
            <w:tcBorders>
              <w:top w:val="nil"/>
              <w:left w:val="nil"/>
              <w:bottom w:val="nil"/>
              <w:right w:val="single" w:sz="8" w:space="0" w:color="auto"/>
            </w:tcBorders>
            <w:shd w:val="clear" w:color="000000" w:fill="F7CAAC"/>
            <w:vAlign w:val="center"/>
            <w:hideMark/>
          </w:tcPr>
          <w:p w:rsidR="008E583B" w:rsidRPr="00E85B10" w:rsidRDefault="00A546F3" w:rsidP="002F26E1">
            <w:pPr>
              <w:spacing w:after="0" w:line="240" w:lineRule="auto"/>
              <w:jc w:val="right"/>
              <w:rPr>
                <w:rFonts w:eastAsia="Times New Roman" w:cs="Times New Roman"/>
                <w:color w:val="000000"/>
                <w:sz w:val="18"/>
                <w:szCs w:val="18"/>
                <w:lang w:eastAsia="fr-FR"/>
              </w:rPr>
            </w:pPr>
            <w:r>
              <w:rPr>
                <w:rFonts w:eastAsia="Times New Roman" w:cs="Times New Roman"/>
                <w:color w:val="000000"/>
                <w:sz w:val="18"/>
                <w:szCs w:val="18"/>
                <w:lang w:eastAsia="fr-FR"/>
              </w:rPr>
              <w:t>5,04</w:t>
            </w:r>
          </w:p>
        </w:tc>
      </w:tr>
      <w:tr w:rsidR="008E583B" w:rsidRPr="008E0A90" w:rsidTr="008E583B">
        <w:trPr>
          <w:trHeight w:val="420"/>
        </w:trPr>
        <w:tc>
          <w:tcPr>
            <w:tcW w:w="3261" w:type="dxa"/>
            <w:tcBorders>
              <w:top w:val="nil"/>
              <w:left w:val="single" w:sz="8" w:space="0" w:color="auto"/>
              <w:bottom w:val="nil"/>
              <w:right w:val="single" w:sz="8" w:space="0" w:color="auto"/>
            </w:tcBorders>
            <w:shd w:val="clear" w:color="000000" w:fill="FFFF00"/>
            <w:vAlign w:val="center"/>
            <w:hideMark/>
          </w:tcPr>
          <w:p w:rsidR="008E583B" w:rsidRPr="00E85B10" w:rsidRDefault="008E583B" w:rsidP="002F26E1">
            <w:pPr>
              <w:spacing w:after="0" w:line="240" w:lineRule="auto"/>
              <w:rPr>
                <w:rFonts w:eastAsia="Times New Roman" w:cs="Times New Roman"/>
                <w:color w:val="000000"/>
                <w:sz w:val="18"/>
                <w:szCs w:val="18"/>
                <w:lang w:eastAsia="fr-FR"/>
              </w:rPr>
            </w:pPr>
            <w:r w:rsidRPr="00E85B10">
              <w:rPr>
                <w:rFonts w:eastAsia="Times New Roman" w:cs="Times New Roman"/>
                <w:color w:val="000000"/>
                <w:sz w:val="18"/>
                <w:szCs w:val="18"/>
                <w:lang w:eastAsia="fr-FR"/>
              </w:rPr>
              <w:t>Santé &amp; Hygiène Corporelle</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4,14</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4,40</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6,14</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6,64</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5,67</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4,06</w:t>
            </w:r>
          </w:p>
        </w:tc>
        <w:tc>
          <w:tcPr>
            <w:tcW w:w="831"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3,10</w:t>
            </w:r>
          </w:p>
        </w:tc>
      </w:tr>
      <w:tr w:rsidR="008E583B" w:rsidRPr="008E0A90" w:rsidTr="008E583B">
        <w:trPr>
          <w:trHeight w:val="420"/>
        </w:trPr>
        <w:tc>
          <w:tcPr>
            <w:tcW w:w="3261" w:type="dxa"/>
            <w:tcBorders>
              <w:top w:val="nil"/>
              <w:left w:val="single" w:sz="8" w:space="0" w:color="auto"/>
              <w:bottom w:val="nil"/>
              <w:right w:val="single" w:sz="8" w:space="0" w:color="auto"/>
            </w:tcBorders>
            <w:shd w:val="clear" w:color="000000" w:fill="FFFF00"/>
            <w:vAlign w:val="center"/>
            <w:hideMark/>
          </w:tcPr>
          <w:p w:rsidR="008E583B" w:rsidRPr="00E85B10" w:rsidRDefault="008E583B" w:rsidP="002F26E1">
            <w:pPr>
              <w:spacing w:after="0" w:line="240" w:lineRule="auto"/>
              <w:rPr>
                <w:rFonts w:eastAsia="Times New Roman" w:cs="Times New Roman"/>
                <w:color w:val="000000"/>
                <w:sz w:val="18"/>
                <w:szCs w:val="18"/>
                <w:lang w:eastAsia="fr-FR"/>
              </w:rPr>
            </w:pPr>
            <w:r w:rsidRPr="00E85B10">
              <w:rPr>
                <w:rFonts w:eastAsia="Times New Roman" w:cs="Times New Roman"/>
                <w:color w:val="000000"/>
                <w:sz w:val="18"/>
                <w:szCs w:val="18"/>
                <w:lang w:eastAsia="fr-FR"/>
              </w:rPr>
              <w:t>Transports et Communication</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5,61</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-1,05</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3,68</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11,74</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4,72</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5,52</w:t>
            </w:r>
          </w:p>
        </w:tc>
        <w:tc>
          <w:tcPr>
            <w:tcW w:w="831" w:type="dxa"/>
            <w:tcBorders>
              <w:top w:val="nil"/>
              <w:left w:val="nil"/>
              <w:bottom w:val="nil"/>
              <w:right w:val="single" w:sz="8" w:space="0" w:color="auto"/>
            </w:tcBorders>
            <w:shd w:val="clear" w:color="000000" w:fill="F7CAAC"/>
            <w:vAlign w:val="center"/>
            <w:hideMark/>
          </w:tcPr>
          <w:p w:rsidR="008E583B" w:rsidRPr="00E85B10" w:rsidRDefault="00A546F3" w:rsidP="002F26E1">
            <w:pPr>
              <w:spacing w:after="0" w:line="240" w:lineRule="auto"/>
              <w:jc w:val="right"/>
              <w:rPr>
                <w:rFonts w:eastAsia="Times New Roman" w:cs="Times New Roman"/>
                <w:color w:val="000000"/>
                <w:sz w:val="18"/>
                <w:szCs w:val="18"/>
                <w:lang w:eastAsia="fr-FR"/>
              </w:rPr>
            </w:pPr>
            <w:r>
              <w:rPr>
                <w:rFonts w:eastAsia="Times New Roman" w:cs="Times New Roman"/>
                <w:color w:val="000000"/>
                <w:sz w:val="18"/>
                <w:szCs w:val="18"/>
                <w:lang w:eastAsia="fr-FR"/>
              </w:rPr>
              <w:t>1,20</w:t>
            </w:r>
          </w:p>
        </w:tc>
      </w:tr>
      <w:tr w:rsidR="008E583B" w:rsidRPr="008E0A90" w:rsidTr="008E583B">
        <w:trPr>
          <w:trHeight w:val="420"/>
        </w:trPr>
        <w:tc>
          <w:tcPr>
            <w:tcW w:w="3261" w:type="dxa"/>
            <w:tcBorders>
              <w:top w:val="nil"/>
              <w:left w:val="single" w:sz="8" w:space="0" w:color="auto"/>
              <w:bottom w:val="nil"/>
              <w:right w:val="single" w:sz="8" w:space="0" w:color="auto"/>
            </w:tcBorders>
            <w:shd w:val="clear" w:color="000000" w:fill="FFFF00"/>
            <w:vAlign w:val="center"/>
            <w:hideMark/>
          </w:tcPr>
          <w:p w:rsidR="008E583B" w:rsidRPr="00E85B10" w:rsidRDefault="008E583B" w:rsidP="002F26E1">
            <w:pPr>
              <w:spacing w:after="0" w:line="240" w:lineRule="auto"/>
              <w:rPr>
                <w:rFonts w:eastAsia="Times New Roman" w:cs="Times New Roman"/>
                <w:color w:val="000000"/>
                <w:sz w:val="18"/>
                <w:szCs w:val="18"/>
                <w:lang w:eastAsia="fr-FR"/>
              </w:rPr>
            </w:pPr>
            <w:r w:rsidRPr="00E85B10">
              <w:rPr>
                <w:rFonts w:eastAsia="Times New Roman" w:cs="Times New Roman"/>
                <w:color w:val="000000"/>
                <w:sz w:val="18"/>
                <w:szCs w:val="18"/>
                <w:lang w:eastAsia="fr-FR"/>
              </w:rPr>
              <w:t>Education – Culture – Loisirs</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-2,87</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8,93</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4,86</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-1,43</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2,93</w:t>
            </w:r>
          </w:p>
        </w:tc>
        <w:tc>
          <w:tcPr>
            <w:tcW w:w="830" w:type="dxa"/>
            <w:tcBorders>
              <w:top w:val="nil"/>
              <w:left w:val="nil"/>
              <w:bottom w:val="nil"/>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4,63</w:t>
            </w:r>
          </w:p>
        </w:tc>
        <w:tc>
          <w:tcPr>
            <w:tcW w:w="831" w:type="dxa"/>
            <w:tcBorders>
              <w:top w:val="nil"/>
              <w:left w:val="nil"/>
              <w:bottom w:val="nil"/>
              <w:right w:val="single" w:sz="8" w:space="0" w:color="auto"/>
            </w:tcBorders>
            <w:shd w:val="clear" w:color="000000" w:fill="F7CAAC"/>
            <w:vAlign w:val="center"/>
            <w:hideMark/>
          </w:tcPr>
          <w:p w:rsidR="008E583B" w:rsidRPr="00E85B10" w:rsidRDefault="00A546F3" w:rsidP="002F26E1">
            <w:pPr>
              <w:spacing w:after="0" w:line="240" w:lineRule="auto"/>
              <w:jc w:val="right"/>
              <w:rPr>
                <w:rFonts w:eastAsia="Times New Roman" w:cs="Times New Roman"/>
                <w:color w:val="000000"/>
                <w:sz w:val="18"/>
                <w:szCs w:val="18"/>
                <w:lang w:eastAsia="fr-FR"/>
              </w:rPr>
            </w:pPr>
            <w:r>
              <w:rPr>
                <w:rFonts w:eastAsia="Times New Roman" w:cs="Times New Roman"/>
                <w:color w:val="000000"/>
                <w:sz w:val="18"/>
                <w:szCs w:val="18"/>
                <w:lang w:eastAsia="fr-FR"/>
              </w:rPr>
              <w:t>13,56</w:t>
            </w:r>
          </w:p>
        </w:tc>
      </w:tr>
      <w:tr w:rsidR="008E583B" w:rsidRPr="008E0A90" w:rsidTr="008E583B">
        <w:trPr>
          <w:trHeight w:val="420"/>
        </w:trPr>
        <w:tc>
          <w:tcPr>
            <w:tcW w:w="3261" w:type="dxa"/>
            <w:tcBorders>
              <w:top w:val="nil"/>
              <w:left w:val="single" w:sz="8" w:space="0" w:color="auto"/>
              <w:bottom w:val="single" w:sz="8" w:space="0" w:color="auto"/>
              <w:right w:val="single" w:sz="8" w:space="0" w:color="auto"/>
            </w:tcBorders>
            <w:shd w:val="clear" w:color="000000" w:fill="FFFF00"/>
            <w:vAlign w:val="center"/>
            <w:hideMark/>
          </w:tcPr>
          <w:p w:rsidR="008E583B" w:rsidRPr="00E85B10" w:rsidRDefault="008E583B" w:rsidP="002F26E1">
            <w:pPr>
              <w:spacing w:after="0" w:line="240" w:lineRule="auto"/>
              <w:rPr>
                <w:rFonts w:eastAsia="Times New Roman" w:cs="Times New Roman"/>
                <w:color w:val="000000"/>
                <w:sz w:val="18"/>
                <w:szCs w:val="18"/>
                <w:lang w:eastAsia="fr-FR"/>
              </w:rPr>
            </w:pPr>
            <w:r w:rsidRPr="00E85B10">
              <w:rPr>
                <w:rFonts w:eastAsia="Times New Roman" w:cs="Times New Roman"/>
                <w:color w:val="000000"/>
                <w:sz w:val="18"/>
                <w:szCs w:val="18"/>
                <w:lang w:eastAsia="fr-FR"/>
              </w:rPr>
              <w:t>Divers ( N.D.A. )</w:t>
            </w:r>
          </w:p>
        </w:tc>
        <w:tc>
          <w:tcPr>
            <w:tcW w:w="830" w:type="dxa"/>
            <w:tcBorders>
              <w:top w:val="nil"/>
              <w:left w:val="nil"/>
              <w:bottom w:val="single" w:sz="8" w:space="0" w:color="auto"/>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0,75</w:t>
            </w:r>
          </w:p>
        </w:tc>
        <w:tc>
          <w:tcPr>
            <w:tcW w:w="830" w:type="dxa"/>
            <w:tcBorders>
              <w:top w:val="nil"/>
              <w:left w:val="nil"/>
              <w:bottom w:val="single" w:sz="8" w:space="0" w:color="auto"/>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0,57</w:t>
            </w:r>
          </w:p>
        </w:tc>
        <w:tc>
          <w:tcPr>
            <w:tcW w:w="830" w:type="dxa"/>
            <w:tcBorders>
              <w:top w:val="nil"/>
              <w:left w:val="nil"/>
              <w:bottom w:val="single" w:sz="8" w:space="0" w:color="auto"/>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6,78</w:t>
            </w:r>
          </w:p>
        </w:tc>
        <w:tc>
          <w:tcPr>
            <w:tcW w:w="830" w:type="dxa"/>
            <w:tcBorders>
              <w:top w:val="nil"/>
              <w:left w:val="nil"/>
              <w:bottom w:val="single" w:sz="8" w:space="0" w:color="auto"/>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10,80</w:t>
            </w:r>
          </w:p>
        </w:tc>
        <w:tc>
          <w:tcPr>
            <w:tcW w:w="830" w:type="dxa"/>
            <w:tcBorders>
              <w:top w:val="nil"/>
              <w:left w:val="nil"/>
              <w:bottom w:val="single" w:sz="8" w:space="0" w:color="auto"/>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11,12</w:t>
            </w:r>
          </w:p>
        </w:tc>
        <w:tc>
          <w:tcPr>
            <w:tcW w:w="830" w:type="dxa"/>
            <w:tcBorders>
              <w:top w:val="nil"/>
              <w:left w:val="nil"/>
              <w:bottom w:val="single" w:sz="8" w:space="0" w:color="auto"/>
              <w:right w:val="single" w:sz="8" w:space="0" w:color="auto"/>
            </w:tcBorders>
            <w:shd w:val="clear" w:color="000000" w:fill="F7CAAC"/>
            <w:vAlign w:val="center"/>
            <w:hideMark/>
          </w:tcPr>
          <w:p w:rsidR="008E583B" w:rsidRPr="00E85B10" w:rsidRDefault="008E583B" w:rsidP="002F26E1">
            <w:pPr>
              <w:spacing w:after="0" w:line="240" w:lineRule="auto"/>
              <w:jc w:val="right"/>
              <w:rPr>
                <w:rFonts w:eastAsia="Times New Roman" w:cs="Times New Roman"/>
                <w:color w:val="000000"/>
                <w:sz w:val="18"/>
                <w:szCs w:val="18"/>
                <w:lang w:eastAsia="fr-FR"/>
              </w:rPr>
            </w:pPr>
            <w:r w:rsidRPr="00E85B10">
              <w:rPr>
                <w:rFonts w:eastAsia="Times New Roman" w:cs="Times New Roman"/>
                <w:color w:val="000000"/>
                <w:sz w:val="18"/>
                <w:szCs w:val="18"/>
                <w:lang w:eastAsia="fr-FR"/>
              </w:rPr>
              <w:t>7,33</w:t>
            </w:r>
          </w:p>
        </w:tc>
        <w:tc>
          <w:tcPr>
            <w:tcW w:w="831" w:type="dxa"/>
            <w:tcBorders>
              <w:top w:val="nil"/>
              <w:left w:val="nil"/>
              <w:bottom w:val="single" w:sz="8" w:space="0" w:color="auto"/>
              <w:right w:val="single" w:sz="8" w:space="0" w:color="auto"/>
            </w:tcBorders>
            <w:shd w:val="clear" w:color="000000" w:fill="F7CAAC"/>
            <w:vAlign w:val="center"/>
            <w:hideMark/>
          </w:tcPr>
          <w:p w:rsidR="008E583B" w:rsidRPr="00E85B10" w:rsidRDefault="00A546F3" w:rsidP="002F26E1">
            <w:pPr>
              <w:spacing w:after="0" w:line="240" w:lineRule="auto"/>
              <w:jc w:val="right"/>
              <w:rPr>
                <w:rFonts w:eastAsia="Times New Roman" w:cs="Times New Roman"/>
                <w:color w:val="000000"/>
                <w:sz w:val="18"/>
                <w:szCs w:val="18"/>
                <w:lang w:eastAsia="fr-FR"/>
              </w:rPr>
            </w:pPr>
            <w:r>
              <w:rPr>
                <w:rFonts w:eastAsia="Times New Roman" w:cs="Times New Roman"/>
                <w:color w:val="000000"/>
                <w:sz w:val="18"/>
                <w:szCs w:val="18"/>
                <w:lang w:eastAsia="fr-FR"/>
              </w:rPr>
              <w:t>5,59</w:t>
            </w:r>
          </w:p>
        </w:tc>
      </w:tr>
    </w:tbl>
    <w:p w:rsidR="008E583B" w:rsidRPr="00284029" w:rsidRDefault="008E583B" w:rsidP="008E583B">
      <w:pPr>
        <w:jc w:val="both"/>
        <w:rPr>
          <w:sz w:val="20"/>
          <w:szCs w:val="20"/>
        </w:rPr>
      </w:pPr>
      <w:r w:rsidRPr="00284029">
        <w:rPr>
          <w:sz w:val="20"/>
          <w:szCs w:val="20"/>
        </w:rPr>
        <w:t>Source : Office National des Statistiques (ONS).</w:t>
      </w:r>
    </w:p>
    <w:p w:rsidR="008E583B" w:rsidRDefault="008E583B" w:rsidP="008E583B">
      <w:pPr>
        <w:jc w:val="both"/>
        <w:rPr>
          <w:sz w:val="24"/>
          <w:szCs w:val="24"/>
        </w:rPr>
      </w:pPr>
    </w:p>
    <w:p w:rsidR="008E583B" w:rsidRDefault="008E583B" w:rsidP="008E583B">
      <w:pPr>
        <w:spacing w:after="0" w:line="240" w:lineRule="auto"/>
        <w:jc w:val="center"/>
        <w:rPr>
          <w:b/>
          <w:bCs/>
        </w:rPr>
      </w:pPr>
      <w:r w:rsidRPr="00284029">
        <w:rPr>
          <w:b/>
          <w:bCs/>
        </w:rPr>
        <w:t xml:space="preserve">Tab N°6- Variation (%) de l’indice des prix à la consommation par catégories de produits </w:t>
      </w:r>
    </w:p>
    <w:p w:rsidR="008E583B" w:rsidRDefault="008E583B" w:rsidP="008E583B">
      <w:pPr>
        <w:spacing w:after="0" w:line="240" w:lineRule="auto"/>
        <w:jc w:val="center"/>
        <w:rPr>
          <w:b/>
          <w:bCs/>
        </w:rPr>
      </w:pPr>
      <w:r w:rsidRPr="00284029">
        <w:rPr>
          <w:b/>
          <w:bCs/>
        </w:rPr>
        <w:t xml:space="preserve"> (</w:t>
      </w:r>
      <w:r w:rsidR="001D6ED4" w:rsidRPr="00284029">
        <w:rPr>
          <w:b/>
          <w:bCs/>
        </w:rPr>
        <w:t>Base</w:t>
      </w:r>
      <w:r w:rsidRPr="00284029">
        <w:rPr>
          <w:b/>
          <w:bCs/>
        </w:rPr>
        <w:t xml:space="preserve"> 100=2001)</w:t>
      </w:r>
    </w:p>
    <w:p w:rsidR="008E583B" w:rsidRPr="00284029" w:rsidRDefault="008E583B" w:rsidP="008E583B">
      <w:pPr>
        <w:spacing w:after="0" w:line="240" w:lineRule="auto"/>
        <w:jc w:val="center"/>
        <w:rPr>
          <w:b/>
          <w:bCs/>
        </w:rPr>
      </w:pPr>
    </w:p>
    <w:tbl>
      <w:tblPr>
        <w:tblW w:w="9072" w:type="dxa"/>
        <w:tblInd w:w="70" w:type="dxa"/>
        <w:tblLayout w:type="fixed"/>
        <w:tblCellMar>
          <w:left w:w="70" w:type="dxa"/>
          <w:right w:w="70" w:type="dxa"/>
        </w:tblCellMar>
        <w:tblLook w:val="04A0" w:firstRow="1" w:lastRow="0" w:firstColumn="1" w:lastColumn="0" w:noHBand="0" w:noVBand="1"/>
      </w:tblPr>
      <w:tblGrid>
        <w:gridCol w:w="3261"/>
        <w:gridCol w:w="830"/>
        <w:gridCol w:w="830"/>
        <w:gridCol w:w="830"/>
        <w:gridCol w:w="830"/>
        <w:gridCol w:w="830"/>
        <w:gridCol w:w="830"/>
        <w:gridCol w:w="831"/>
      </w:tblGrid>
      <w:tr w:rsidR="008E583B" w:rsidRPr="008E0A90" w:rsidTr="002F26E1">
        <w:trPr>
          <w:trHeight w:val="315"/>
        </w:trPr>
        <w:tc>
          <w:tcPr>
            <w:tcW w:w="3261" w:type="dxa"/>
            <w:tcBorders>
              <w:top w:val="nil"/>
              <w:left w:val="nil"/>
              <w:bottom w:val="single" w:sz="8" w:space="0" w:color="auto"/>
              <w:right w:val="single" w:sz="8" w:space="0" w:color="auto"/>
            </w:tcBorders>
            <w:shd w:val="clear" w:color="auto" w:fill="auto"/>
            <w:noWrap/>
            <w:vAlign w:val="bottom"/>
            <w:hideMark/>
          </w:tcPr>
          <w:p w:rsidR="008E583B" w:rsidRPr="00C9265C" w:rsidRDefault="008E583B" w:rsidP="002F26E1">
            <w:pPr>
              <w:spacing w:after="0" w:line="240" w:lineRule="auto"/>
              <w:rPr>
                <w:rFonts w:eastAsia="Times New Roman" w:cs="Times New Roman"/>
                <w:color w:val="000000"/>
                <w:lang w:eastAsia="fr-FR"/>
              </w:rPr>
            </w:pPr>
            <w:r w:rsidRPr="00C9265C">
              <w:rPr>
                <w:rFonts w:eastAsia="Times New Roman" w:cs="Times New Roman"/>
                <w:color w:val="000000"/>
                <w:lang w:eastAsia="fr-FR"/>
              </w:rPr>
              <w:t> </w:t>
            </w:r>
          </w:p>
        </w:tc>
        <w:tc>
          <w:tcPr>
            <w:tcW w:w="830" w:type="dxa"/>
            <w:tcBorders>
              <w:top w:val="single" w:sz="8" w:space="0" w:color="auto"/>
              <w:left w:val="nil"/>
              <w:bottom w:val="single" w:sz="8" w:space="0" w:color="auto"/>
              <w:right w:val="single" w:sz="8" w:space="0" w:color="auto"/>
            </w:tcBorders>
            <w:shd w:val="clear" w:color="auto" w:fill="FFFF00"/>
            <w:noWrap/>
            <w:vAlign w:val="center"/>
            <w:hideMark/>
          </w:tcPr>
          <w:p w:rsidR="008E583B" w:rsidRPr="00284029" w:rsidRDefault="008E583B" w:rsidP="002F26E1">
            <w:pPr>
              <w:spacing w:after="0" w:line="240" w:lineRule="auto"/>
              <w:jc w:val="center"/>
              <w:rPr>
                <w:rFonts w:eastAsia="Times New Roman" w:cs="Times New Roman"/>
                <w:b/>
                <w:bCs/>
                <w:color w:val="000000"/>
                <w:lang w:eastAsia="fr-FR"/>
              </w:rPr>
            </w:pPr>
            <w:r w:rsidRPr="00284029">
              <w:rPr>
                <w:rFonts w:eastAsia="Times New Roman" w:cs="Times New Roman"/>
                <w:b/>
                <w:bCs/>
                <w:color w:val="000000"/>
                <w:lang w:eastAsia="fr-FR"/>
              </w:rPr>
              <w:t>2013</w:t>
            </w:r>
          </w:p>
        </w:tc>
        <w:tc>
          <w:tcPr>
            <w:tcW w:w="830" w:type="dxa"/>
            <w:tcBorders>
              <w:top w:val="single" w:sz="8" w:space="0" w:color="auto"/>
              <w:left w:val="nil"/>
              <w:bottom w:val="single" w:sz="8" w:space="0" w:color="auto"/>
              <w:right w:val="single" w:sz="8" w:space="0" w:color="auto"/>
            </w:tcBorders>
            <w:shd w:val="clear" w:color="auto" w:fill="FFFF00"/>
            <w:noWrap/>
            <w:vAlign w:val="center"/>
            <w:hideMark/>
          </w:tcPr>
          <w:p w:rsidR="008E583B" w:rsidRPr="00284029" w:rsidRDefault="008E583B" w:rsidP="002F26E1">
            <w:pPr>
              <w:spacing w:after="0" w:line="240" w:lineRule="auto"/>
              <w:jc w:val="center"/>
              <w:rPr>
                <w:rFonts w:eastAsia="Times New Roman" w:cs="Times New Roman"/>
                <w:b/>
                <w:bCs/>
                <w:color w:val="000000"/>
                <w:lang w:eastAsia="fr-FR"/>
              </w:rPr>
            </w:pPr>
            <w:r w:rsidRPr="00284029">
              <w:rPr>
                <w:rFonts w:eastAsia="Times New Roman" w:cs="Times New Roman"/>
                <w:b/>
                <w:bCs/>
                <w:color w:val="000000"/>
                <w:lang w:eastAsia="fr-FR"/>
              </w:rPr>
              <w:t>2014</w:t>
            </w:r>
          </w:p>
        </w:tc>
        <w:tc>
          <w:tcPr>
            <w:tcW w:w="830" w:type="dxa"/>
            <w:tcBorders>
              <w:top w:val="single" w:sz="8" w:space="0" w:color="auto"/>
              <w:left w:val="nil"/>
              <w:bottom w:val="single" w:sz="8" w:space="0" w:color="auto"/>
              <w:right w:val="single" w:sz="8" w:space="0" w:color="auto"/>
            </w:tcBorders>
            <w:shd w:val="clear" w:color="auto" w:fill="FFFF00"/>
            <w:noWrap/>
            <w:vAlign w:val="center"/>
            <w:hideMark/>
          </w:tcPr>
          <w:p w:rsidR="008E583B" w:rsidRPr="00284029" w:rsidRDefault="008E583B" w:rsidP="002F26E1">
            <w:pPr>
              <w:spacing w:after="0" w:line="240" w:lineRule="auto"/>
              <w:jc w:val="center"/>
              <w:rPr>
                <w:rFonts w:eastAsia="Times New Roman" w:cs="Times New Roman"/>
                <w:b/>
                <w:bCs/>
                <w:color w:val="000000"/>
                <w:lang w:eastAsia="fr-FR"/>
              </w:rPr>
            </w:pPr>
            <w:r w:rsidRPr="00284029">
              <w:rPr>
                <w:rFonts w:eastAsia="Times New Roman" w:cs="Times New Roman"/>
                <w:b/>
                <w:bCs/>
                <w:color w:val="000000"/>
                <w:lang w:eastAsia="fr-FR"/>
              </w:rPr>
              <w:t>2015</w:t>
            </w:r>
          </w:p>
        </w:tc>
        <w:tc>
          <w:tcPr>
            <w:tcW w:w="830" w:type="dxa"/>
            <w:tcBorders>
              <w:top w:val="single" w:sz="8" w:space="0" w:color="auto"/>
              <w:left w:val="nil"/>
              <w:bottom w:val="single" w:sz="8" w:space="0" w:color="auto"/>
              <w:right w:val="single" w:sz="8" w:space="0" w:color="auto"/>
            </w:tcBorders>
            <w:shd w:val="clear" w:color="auto" w:fill="FFFF00"/>
            <w:noWrap/>
            <w:vAlign w:val="center"/>
            <w:hideMark/>
          </w:tcPr>
          <w:p w:rsidR="008E583B" w:rsidRPr="00284029" w:rsidRDefault="008E583B" w:rsidP="002F26E1">
            <w:pPr>
              <w:spacing w:after="0" w:line="240" w:lineRule="auto"/>
              <w:jc w:val="center"/>
              <w:rPr>
                <w:rFonts w:eastAsia="Times New Roman" w:cs="Times New Roman"/>
                <w:b/>
                <w:bCs/>
                <w:color w:val="000000"/>
                <w:lang w:eastAsia="fr-FR"/>
              </w:rPr>
            </w:pPr>
            <w:r w:rsidRPr="00284029">
              <w:rPr>
                <w:rFonts w:eastAsia="Times New Roman" w:cs="Times New Roman"/>
                <w:b/>
                <w:bCs/>
                <w:color w:val="000000"/>
                <w:lang w:eastAsia="fr-FR"/>
              </w:rPr>
              <w:t>2016</w:t>
            </w:r>
          </w:p>
        </w:tc>
        <w:tc>
          <w:tcPr>
            <w:tcW w:w="830" w:type="dxa"/>
            <w:tcBorders>
              <w:top w:val="single" w:sz="8" w:space="0" w:color="auto"/>
              <w:left w:val="nil"/>
              <w:bottom w:val="single" w:sz="8" w:space="0" w:color="auto"/>
              <w:right w:val="single" w:sz="8" w:space="0" w:color="auto"/>
            </w:tcBorders>
            <w:shd w:val="clear" w:color="auto" w:fill="FFFF00"/>
            <w:noWrap/>
            <w:vAlign w:val="center"/>
            <w:hideMark/>
          </w:tcPr>
          <w:p w:rsidR="008E583B" w:rsidRPr="00284029" w:rsidRDefault="008E583B" w:rsidP="002F26E1">
            <w:pPr>
              <w:spacing w:after="0" w:line="240" w:lineRule="auto"/>
              <w:jc w:val="center"/>
              <w:rPr>
                <w:rFonts w:eastAsia="Times New Roman" w:cs="Times New Roman"/>
                <w:b/>
                <w:bCs/>
                <w:color w:val="000000"/>
                <w:lang w:eastAsia="fr-FR"/>
              </w:rPr>
            </w:pPr>
            <w:r w:rsidRPr="00284029">
              <w:rPr>
                <w:rFonts w:eastAsia="Times New Roman" w:cs="Times New Roman"/>
                <w:b/>
                <w:bCs/>
                <w:color w:val="000000"/>
                <w:lang w:eastAsia="fr-FR"/>
              </w:rPr>
              <w:t>2017</w:t>
            </w:r>
          </w:p>
        </w:tc>
        <w:tc>
          <w:tcPr>
            <w:tcW w:w="830" w:type="dxa"/>
            <w:tcBorders>
              <w:top w:val="single" w:sz="8" w:space="0" w:color="auto"/>
              <w:left w:val="nil"/>
              <w:bottom w:val="single" w:sz="8" w:space="0" w:color="auto"/>
              <w:right w:val="single" w:sz="8" w:space="0" w:color="auto"/>
            </w:tcBorders>
            <w:shd w:val="clear" w:color="auto" w:fill="FFFF00"/>
            <w:noWrap/>
            <w:vAlign w:val="center"/>
            <w:hideMark/>
          </w:tcPr>
          <w:p w:rsidR="008E583B" w:rsidRPr="00284029" w:rsidRDefault="008E583B" w:rsidP="002F26E1">
            <w:pPr>
              <w:spacing w:after="0" w:line="240" w:lineRule="auto"/>
              <w:jc w:val="center"/>
              <w:rPr>
                <w:rFonts w:eastAsia="Times New Roman" w:cs="Times New Roman"/>
                <w:b/>
                <w:bCs/>
                <w:color w:val="000000"/>
                <w:lang w:eastAsia="fr-FR"/>
              </w:rPr>
            </w:pPr>
            <w:r w:rsidRPr="00284029">
              <w:rPr>
                <w:rFonts w:eastAsia="Times New Roman" w:cs="Times New Roman"/>
                <w:b/>
                <w:bCs/>
                <w:color w:val="000000"/>
                <w:lang w:eastAsia="fr-FR"/>
              </w:rPr>
              <w:t>2018</w:t>
            </w:r>
          </w:p>
        </w:tc>
        <w:tc>
          <w:tcPr>
            <w:tcW w:w="831" w:type="dxa"/>
            <w:tcBorders>
              <w:top w:val="single" w:sz="8" w:space="0" w:color="auto"/>
              <w:left w:val="nil"/>
              <w:bottom w:val="single" w:sz="8" w:space="0" w:color="auto"/>
              <w:right w:val="single" w:sz="8" w:space="0" w:color="auto"/>
            </w:tcBorders>
            <w:shd w:val="clear" w:color="auto" w:fill="FFFF00"/>
            <w:noWrap/>
            <w:vAlign w:val="center"/>
            <w:hideMark/>
          </w:tcPr>
          <w:p w:rsidR="008E583B" w:rsidRPr="00284029" w:rsidRDefault="00A546F3" w:rsidP="002F26E1">
            <w:pPr>
              <w:spacing w:after="0" w:line="240" w:lineRule="auto"/>
              <w:jc w:val="center"/>
              <w:rPr>
                <w:rFonts w:eastAsia="Times New Roman" w:cs="Times New Roman"/>
                <w:b/>
                <w:bCs/>
                <w:color w:val="000000"/>
                <w:sz w:val="18"/>
                <w:szCs w:val="18"/>
                <w:lang w:eastAsia="fr-FR"/>
              </w:rPr>
            </w:pPr>
            <w:r>
              <w:rPr>
                <w:rFonts w:eastAsia="Times New Roman" w:cs="Times New Roman"/>
                <w:b/>
                <w:bCs/>
                <w:color w:val="000000"/>
                <w:sz w:val="18"/>
                <w:szCs w:val="18"/>
                <w:lang w:eastAsia="fr-FR"/>
              </w:rPr>
              <w:t>2019</w:t>
            </w:r>
          </w:p>
        </w:tc>
      </w:tr>
      <w:tr w:rsidR="008E583B" w:rsidRPr="008E0A90" w:rsidTr="008E583B">
        <w:trPr>
          <w:trHeight w:val="315"/>
        </w:trPr>
        <w:tc>
          <w:tcPr>
            <w:tcW w:w="3261" w:type="dxa"/>
            <w:tcBorders>
              <w:top w:val="nil"/>
              <w:left w:val="single" w:sz="8" w:space="0" w:color="auto"/>
              <w:bottom w:val="single" w:sz="8" w:space="0" w:color="auto"/>
              <w:right w:val="single" w:sz="8" w:space="0" w:color="auto"/>
            </w:tcBorders>
            <w:shd w:val="clear" w:color="000000" w:fill="FFFF00"/>
            <w:vAlign w:val="center"/>
            <w:hideMark/>
          </w:tcPr>
          <w:p w:rsidR="008E583B" w:rsidRPr="00C9265C" w:rsidRDefault="008E583B" w:rsidP="002F26E1">
            <w:pPr>
              <w:spacing w:after="0" w:line="240" w:lineRule="auto"/>
              <w:jc w:val="center"/>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Ensemble</w:t>
            </w:r>
          </w:p>
        </w:tc>
        <w:tc>
          <w:tcPr>
            <w:tcW w:w="830" w:type="dxa"/>
            <w:tcBorders>
              <w:top w:val="nil"/>
              <w:left w:val="nil"/>
              <w:bottom w:val="single" w:sz="8" w:space="0" w:color="auto"/>
              <w:right w:val="single" w:sz="8" w:space="0" w:color="auto"/>
            </w:tcBorders>
            <w:shd w:val="clear" w:color="auto" w:fill="F7CAAC"/>
            <w:vAlign w:val="center"/>
            <w:hideMark/>
          </w:tcPr>
          <w:p w:rsidR="008E583B" w:rsidRPr="00C9265C" w:rsidRDefault="008E583B" w:rsidP="002F26E1">
            <w:pPr>
              <w:spacing w:after="0" w:line="240" w:lineRule="auto"/>
              <w:jc w:val="center"/>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3,25</w:t>
            </w:r>
          </w:p>
        </w:tc>
        <w:tc>
          <w:tcPr>
            <w:tcW w:w="830" w:type="dxa"/>
            <w:tcBorders>
              <w:top w:val="nil"/>
              <w:left w:val="nil"/>
              <w:bottom w:val="single" w:sz="8" w:space="0" w:color="auto"/>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2,92</w:t>
            </w:r>
          </w:p>
        </w:tc>
        <w:tc>
          <w:tcPr>
            <w:tcW w:w="830" w:type="dxa"/>
            <w:tcBorders>
              <w:top w:val="nil"/>
              <w:left w:val="nil"/>
              <w:bottom w:val="single" w:sz="8" w:space="0" w:color="auto"/>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4,78</w:t>
            </w:r>
          </w:p>
        </w:tc>
        <w:tc>
          <w:tcPr>
            <w:tcW w:w="830" w:type="dxa"/>
            <w:tcBorders>
              <w:top w:val="nil"/>
              <w:left w:val="nil"/>
              <w:bottom w:val="single" w:sz="8" w:space="0" w:color="auto"/>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6,40</w:t>
            </w:r>
          </w:p>
        </w:tc>
        <w:tc>
          <w:tcPr>
            <w:tcW w:w="830" w:type="dxa"/>
            <w:tcBorders>
              <w:top w:val="nil"/>
              <w:left w:val="nil"/>
              <w:bottom w:val="single" w:sz="8" w:space="0" w:color="auto"/>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5,59</w:t>
            </w:r>
          </w:p>
        </w:tc>
        <w:tc>
          <w:tcPr>
            <w:tcW w:w="830" w:type="dxa"/>
            <w:tcBorders>
              <w:top w:val="nil"/>
              <w:left w:val="nil"/>
              <w:bottom w:val="single" w:sz="8" w:space="0" w:color="auto"/>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4,27</w:t>
            </w:r>
          </w:p>
        </w:tc>
        <w:tc>
          <w:tcPr>
            <w:tcW w:w="831" w:type="dxa"/>
            <w:tcBorders>
              <w:top w:val="nil"/>
              <w:left w:val="nil"/>
              <w:bottom w:val="single" w:sz="8" w:space="0" w:color="auto"/>
              <w:right w:val="single" w:sz="8" w:space="0" w:color="auto"/>
            </w:tcBorders>
            <w:shd w:val="clear" w:color="auto" w:fill="F7CAAC"/>
            <w:vAlign w:val="center"/>
            <w:hideMark/>
          </w:tcPr>
          <w:p w:rsidR="008E583B" w:rsidRPr="00C9265C" w:rsidRDefault="00A546F3" w:rsidP="002F26E1">
            <w:pPr>
              <w:spacing w:after="0" w:line="240" w:lineRule="auto"/>
              <w:jc w:val="right"/>
              <w:rPr>
                <w:rFonts w:eastAsia="Times New Roman" w:cs="Times New Roman"/>
                <w:b/>
                <w:bCs/>
                <w:color w:val="000000"/>
                <w:sz w:val="18"/>
                <w:szCs w:val="18"/>
                <w:lang w:eastAsia="fr-FR"/>
              </w:rPr>
            </w:pPr>
            <w:r>
              <w:rPr>
                <w:rFonts w:eastAsia="Times New Roman" w:cs="Times New Roman"/>
                <w:b/>
                <w:bCs/>
                <w:color w:val="000000"/>
                <w:sz w:val="18"/>
                <w:szCs w:val="18"/>
                <w:lang w:eastAsia="fr-FR"/>
              </w:rPr>
              <w:t>1,95</w:t>
            </w:r>
          </w:p>
        </w:tc>
      </w:tr>
      <w:tr w:rsidR="008E583B" w:rsidRPr="008E0A90" w:rsidTr="008E583B">
        <w:trPr>
          <w:trHeight w:val="300"/>
        </w:trPr>
        <w:tc>
          <w:tcPr>
            <w:tcW w:w="3261" w:type="dxa"/>
            <w:tcBorders>
              <w:top w:val="nil"/>
              <w:left w:val="single" w:sz="8" w:space="0" w:color="auto"/>
              <w:bottom w:val="nil"/>
              <w:right w:val="single" w:sz="8" w:space="0" w:color="auto"/>
            </w:tcBorders>
            <w:shd w:val="clear" w:color="000000" w:fill="FFFF00"/>
            <w:vAlign w:val="center"/>
            <w:hideMark/>
          </w:tcPr>
          <w:p w:rsidR="008E583B" w:rsidRPr="00C9265C" w:rsidRDefault="008E583B" w:rsidP="002F26E1">
            <w:pPr>
              <w:spacing w:after="0" w:line="240" w:lineRule="auto"/>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Biens alimentaires (y c boissons alcoolisées)</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center"/>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3,18</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3,89</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4,70</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3,39</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5,01</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3,38</w:t>
            </w:r>
          </w:p>
        </w:tc>
        <w:tc>
          <w:tcPr>
            <w:tcW w:w="831" w:type="dxa"/>
            <w:tcBorders>
              <w:top w:val="nil"/>
              <w:left w:val="nil"/>
              <w:bottom w:val="nil"/>
              <w:right w:val="single" w:sz="8" w:space="0" w:color="auto"/>
            </w:tcBorders>
            <w:shd w:val="clear" w:color="auto" w:fill="F7CAAC"/>
            <w:vAlign w:val="center"/>
            <w:hideMark/>
          </w:tcPr>
          <w:p w:rsidR="008E583B" w:rsidRPr="00C9265C" w:rsidRDefault="00A546F3" w:rsidP="002F26E1">
            <w:pPr>
              <w:spacing w:after="0" w:line="240" w:lineRule="auto"/>
              <w:jc w:val="right"/>
              <w:rPr>
                <w:rFonts w:eastAsia="Times New Roman" w:cs="Times New Roman"/>
                <w:b/>
                <w:bCs/>
                <w:color w:val="000000"/>
                <w:sz w:val="18"/>
                <w:szCs w:val="18"/>
                <w:lang w:eastAsia="fr-FR"/>
              </w:rPr>
            </w:pPr>
            <w:r>
              <w:rPr>
                <w:rFonts w:eastAsia="Times New Roman" w:cs="Times New Roman"/>
                <w:b/>
                <w:bCs/>
                <w:color w:val="000000"/>
                <w:sz w:val="18"/>
                <w:szCs w:val="18"/>
                <w:lang w:eastAsia="fr-FR"/>
              </w:rPr>
              <w:t>-0,56</w:t>
            </w:r>
          </w:p>
        </w:tc>
      </w:tr>
      <w:tr w:rsidR="008E583B" w:rsidRPr="008E0A90" w:rsidTr="008E583B">
        <w:trPr>
          <w:trHeight w:val="300"/>
        </w:trPr>
        <w:tc>
          <w:tcPr>
            <w:tcW w:w="3261" w:type="dxa"/>
            <w:tcBorders>
              <w:top w:val="nil"/>
              <w:left w:val="single" w:sz="8" w:space="0" w:color="auto"/>
              <w:bottom w:val="nil"/>
              <w:right w:val="single" w:sz="8" w:space="0" w:color="auto"/>
            </w:tcBorders>
            <w:shd w:val="clear" w:color="000000" w:fill="FFFF00"/>
            <w:vAlign w:val="center"/>
            <w:hideMark/>
          </w:tcPr>
          <w:p w:rsidR="008E583B" w:rsidRPr="00C9265C" w:rsidRDefault="008E583B" w:rsidP="002F26E1">
            <w:pPr>
              <w:spacing w:after="0" w:line="240" w:lineRule="auto"/>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 xml:space="preserve">   Produits frais agricoles</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center"/>
              <w:rPr>
                <w:rFonts w:eastAsia="Times New Roman" w:cs="Times New Roman"/>
                <w:color w:val="000000"/>
                <w:sz w:val="18"/>
                <w:szCs w:val="18"/>
                <w:lang w:eastAsia="fr-FR"/>
              </w:rPr>
            </w:pPr>
            <w:r w:rsidRPr="00C9265C">
              <w:rPr>
                <w:rFonts w:eastAsia="Times New Roman" w:cs="Times New Roman"/>
                <w:color w:val="000000"/>
                <w:sz w:val="18"/>
                <w:szCs w:val="18"/>
                <w:lang w:eastAsia="fr-FR"/>
              </w:rPr>
              <w:t>4,02</w:t>
            </w:r>
          </w:p>
        </w:tc>
        <w:tc>
          <w:tcPr>
            <w:tcW w:w="830" w:type="dxa"/>
            <w:tcBorders>
              <w:top w:val="nil"/>
              <w:left w:val="nil"/>
              <w:bottom w:val="nil"/>
              <w:right w:val="single" w:sz="8" w:space="0" w:color="auto"/>
            </w:tcBorders>
            <w:shd w:val="clear" w:color="auto" w:fill="F7CAAC"/>
            <w:noWrap/>
            <w:vAlign w:val="bottom"/>
            <w:hideMark/>
          </w:tcPr>
          <w:p w:rsidR="008E583B" w:rsidRPr="00C9265C" w:rsidRDefault="008E583B" w:rsidP="002F26E1">
            <w:pPr>
              <w:spacing w:after="0" w:line="240" w:lineRule="auto"/>
              <w:jc w:val="right"/>
              <w:rPr>
                <w:rFonts w:eastAsia="Times New Roman" w:cs="Times New Roman"/>
                <w:color w:val="000000"/>
                <w:lang w:eastAsia="fr-FR"/>
              </w:rPr>
            </w:pPr>
            <w:r w:rsidRPr="00C9265C">
              <w:rPr>
                <w:rFonts w:eastAsia="Times New Roman" w:cs="Times New Roman"/>
                <w:color w:val="000000"/>
                <w:lang w:eastAsia="fr-FR"/>
              </w:rPr>
              <w:t>5,26</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color w:val="000000"/>
                <w:sz w:val="18"/>
                <w:szCs w:val="18"/>
                <w:lang w:eastAsia="fr-FR"/>
              </w:rPr>
            </w:pPr>
            <w:r w:rsidRPr="00C9265C">
              <w:rPr>
                <w:rFonts w:eastAsia="Times New Roman" w:cs="Times New Roman"/>
                <w:color w:val="000000"/>
                <w:sz w:val="18"/>
                <w:szCs w:val="18"/>
                <w:lang w:eastAsia="fr-FR"/>
              </w:rPr>
              <w:t>7,75</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color w:val="000000"/>
                <w:sz w:val="18"/>
                <w:szCs w:val="18"/>
                <w:lang w:eastAsia="fr-FR"/>
              </w:rPr>
            </w:pPr>
            <w:r w:rsidRPr="00C9265C">
              <w:rPr>
                <w:rFonts w:eastAsia="Times New Roman" w:cs="Times New Roman"/>
                <w:color w:val="000000"/>
                <w:sz w:val="18"/>
                <w:szCs w:val="18"/>
                <w:lang w:eastAsia="fr-FR"/>
              </w:rPr>
              <w:t>2,03</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color w:val="000000"/>
                <w:sz w:val="18"/>
                <w:szCs w:val="18"/>
                <w:lang w:eastAsia="fr-FR"/>
              </w:rPr>
            </w:pPr>
            <w:r w:rsidRPr="00C9265C">
              <w:rPr>
                <w:rFonts w:eastAsia="Times New Roman" w:cs="Times New Roman"/>
                <w:color w:val="000000"/>
                <w:sz w:val="18"/>
                <w:szCs w:val="18"/>
                <w:lang w:eastAsia="fr-FR"/>
              </w:rPr>
              <w:t>6,58</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color w:val="000000"/>
                <w:sz w:val="18"/>
                <w:szCs w:val="18"/>
                <w:lang w:eastAsia="fr-FR"/>
              </w:rPr>
            </w:pPr>
            <w:r w:rsidRPr="00C9265C">
              <w:rPr>
                <w:rFonts w:eastAsia="Times New Roman" w:cs="Times New Roman"/>
                <w:color w:val="000000"/>
                <w:sz w:val="18"/>
                <w:szCs w:val="18"/>
                <w:lang w:eastAsia="fr-FR"/>
              </w:rPr>
              <w:t>4,11</w:t>
            </w:r>
          </w:p>
        </w:tc>
        <w:tc>
          <w:tcPr>
            <w:tcW w:w="831" w:type="dxa"/>
            <w:tcBorders>
              <w:top w:val="nil"/>
              <w:left w:val="nil"/>
              <w:bottom w:val="nil"/>
              <w:right w:val="single" w:sz="8" w:space="0" w:color="auto"/>
            </w:tcBorders>
            <w:shd w:val="clear" w:color="auto" w:fill="F7CAAC"/>
            <w:vAlign w:val="center"/>
            <w:hideMark/>
          </w:tcPr>
          <w:p w:rsidR="008E583B" w:rsidRPr="00C9265C" w:rsidRDefault="00A546F3" w:rsidP="002F26E1">
            <w:pPr>
              <w:spacing w:after="0" w:line="240" w:lineRule="auto"/>
              <w:jc w:val="right"/>
              <w:rPr>
                <w:rFonts w:eastAsia="Times New Roman" w:cs="Times New Roman"/>
                <w:color w:val="000000"/>
                <w:sz w:val="18"/>
                <w:szCs w:val="18"/>
                <w:lang w:eastAsia="fr-FR"/>
              </w:rPr>
            </w:pPr>
            <w:r>
              <w:rPr>
                <w:rFonts w:eastAsia="Times New Roman" w:cs="Times New Roman"/>
                <w:color w:val="000000"/>
                <w:sz w:val="18"/>
                <w:szCs w:val="18"/>
                <w:lang w:eastAsia="fr-FR"/>
              </w:rPr>
              <w:t>-2,23</w:t>
            </w:r>
          </w:p>
        </w:tc>
      </w:tr>
      <w:tr w:rsidR="008E583B" w:rsidRPr="008E0A90" w:rsidTr="008E583B">
        <w:trPr>
          <w:trHeight w:val="300"/>
        </w:trPr>
        <w:tc>
          <w:tcPr>
            <w:tcW w:w="3261" w:type="dxa"/>
            <w:tcBorders>
              <w:top w:val="nil"/>
              <w:left w:val="single" w:sz="8" w:space="0" w:color="auto"/>
              <w:bottom w:val="nil"/>
              <w:right w:val="single" w:sz="8" w:space="0" w:color="auto"/>
            </w:tcBorders>
            <w:shd w:val="clear" w:color="000000" w:fill="FFFF00"/>
            <w:vAlign w:val="center"/>
            <w:hideMark/>
          </w:tcPr>
          <w:p w:rsidR="008E583B" w:rsidRPr="00C9265C" w:rsidRDefault="008E583B" w:rsidP="002F26E1">
            <w:pPr>
              <w:spacing w:after="0" w:line="240" w:lineRule="auto"/>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 xml:space="preserve">   produits alimentaires industriels</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center"/>
              <w:rPr>
                <w:rFonts w:eastAsia="Times New Roman" w:cs="Times New Roman"/>
                <w:color w:val="000000"/>
                <w:sz w:val="18"/>
                <w:szCs w:val="18"/>
                <w:lang w:eastAsia="fr-FR"/>
              </w:rPr>
            </w:pPr>
            <w:r w:rsidRPr="00C9265C">
              <w:rPr>
                <w:rFonts w:eastAsia="Times New Roman" w:cs="Times New Roman"/>
                <w:color w:val="000000"/>
                <w:sz w:val="18"/>
                <w:szCs w:val="18"/>
                <w:lang w:eastAsia="fr-FR"/>
              </w:rPr>
              <w:t>2,37</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color w:val="000000"/>
                <w:sz w:val="18"/>
                <w:szCs w:val="18"/>
                <w:lang w:eastAsia="fr-FR"/>
              </w:rPr>
            </w:pPr>
            <w:r w:rsidRPr="00C9265C">
              <w:rPr>
                <w:rFonts w:eastAsia="Times New Roman" w:cs="Times New Roman"/>
                <w:color w:val="000000"/>
                <w:sz w:val="18"/>
                <w:szCs w:val="18"/>
                <w:lang w:eastAsia="fr-FR"/>
              </w:rPr>
              <w:t>2,57</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color w:val="000000"/>
                <w:sz w:val="18"/>
                <w:szCs w:val="18"/>
                <w:lang w:eastAsia="fr-FR"/>
              </w:rPr>
            </w:pPr>
            <w:r w:rsidRPr="00C9265C">
              <w:rPr>
                <w:rFonts w:eastAsia="Times New Roman" w:cs="Times New Roman"/>
                <w:color w:val="000000"/>
                <w:sz w:val="18"/>
                <w:szCs w:val="18"/>
                <w:lang w:eastAsia="fr-FR"/>
              </w:rPr>
              <w:t>4,66</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color w:val="000000"/>
                <w:sz w:val="18"/>
                <w:szCs w:val="18"/>
                <w:lang w:eastAsia="fr-FR"/>
              </w:rPr>
            </w:pPr>
            <w:r w:rsidRPr="00C9265C">
              <w:rPr>
                <w:rFonts w:eastAsia="Times New Roman" w:cs="Times New Roman"/>
                <w:color w:val="000000"/>
                <w:sz w:val="18"/>
                <w:szCs w:val="18"/>
                <w:lang w:eastAsia="fr-FR"/>
              </w:rPr>
              <w:t>4,75</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color w:val="000000"/>
                <w:sz w:val="18"/>
                <w:szCs w:val="18"/>
                <w:lang w:eastAsia="fr-FR"/>
              </w:rPr>
            </w:pPr>
            <w:r w:rsidRPr="00C9265C">
              <w:rPr>
                <w:rFonts w:eastAsia="Times New Roman" w:cs="Times New Roman"/>
                <w:color w:val="000000"/>
                <w:sz w:val="18"/>
                <w:szCs w:val="18"/>
                <w:lang w:eastAsia="fr-FR"/>
              </w:rPr>
              <w:t>3,49</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color w:val="000000"/>
                <w:sz w:val="18"/>
                <w:szCs w:val="18"/>
                <w:lang w:eastAsia="fr-FR"/>
              </w:rPr>
            </w:pPr>
            <w:r w:rsidRPr="00C9265C">
              <w:rPr>
                <w:rFonts w:eastAsia="Times New Roman" w:cs="Times New Roman"/>
                <w:color w:val="000000"/>
                <w:sz w:val="18"/>
                <w:szCs w:val="18"/>
                <w:lang w:eastAsia="fr-FR"/>
              </w:rPr>
              <w:t>2,64</w:t>
            </w:r>
          </w:p>
        </w:tc>
        <w:tc>
          <w:tcPr>
            <w:tcW w:w="831" w:type="dxa"/>
            <w:tcBorders>
              <w:top w:val="nil"/>
              <w:left w:val="nil"/>
              <w:bottom w:val="nil"/>
              <w:right w:val="single" w:sz="8" w:space="0" w:color="auto"/>
            </w:tcBorders>
            <w:shd w:val="clear" w:color="auto" w:fill="F7CAAC"/>
            <w:vAlign w:val="center"/>
            <w:hideMark/>
          </w:tcPr>
          <w:p w:rsidR="008E583B" w:rsidRPr="00C9265C" w:rsidRDefault="00A546F3" w:rsidP="002F26E1">
            <w:pPr>
              <w:spacing w:after="0" w:line="240" w:lineRule="auto"/>
              <w:jc w:val="right"/>
              <w:rPr>
                <w:rFonts w:eastAsia="Times New Roman" w:cs="Times New Roman"/>
                <w:color w:val="000000"/>
                <w:sz w:val="18"/>
                <w:szCs w:val="18"/>
                <w:lang w:eastAsia="fr-FR"/>
              </w:rPr>
            </w:pPr>
            <w:r>
              <w:rPr>
                <w:rFonts w:eastAsia="Times New Roman" w:cs="Times New Roman"/>
                <w:color w:val="000000"/>
                <w:sz w:val="18"/>
                <w:szCs w:val="18"/>
                <w:lang w:eastAsia="fr-FR"/>
              </w:rPr>
              <w:t>1,14</w:t>
            </w:r>
          </w:p>
        </w:tc>
      </w:tr>
      <w:tr w:rsidR="008E583B" w:rsidRPr="008E0A90" w:rsidTr="008E583B">
        <w:trPr>
          <w:trHeight w:val="300"/>
        </w:trPr>
        <w:tc>
          <w:tcPr>
            <w:tcW w:w="3261" w:type="dxa"/>
            <w:tcBorders>
              <w:top w:val="nil"/>
              <w:left w:val="single" w:sz="8" w:space="0" w:color="auto"/>
              <w:bottom w:val="nil"/>
              <w:right w:val="single" w:sz="8" w:space="0" w:color="auto"/>
            </w:tcBorders>
            <w:shd w:val="clear" w:color="000000" w:fill="FFFF00"/>
            <w:vAlign w:val="center"/>
            <w:hideMark/>
          </w:tcPr>
          <w:p w:rsidR="008E583B" w:rsidRPr="00C9265C" w:rsidRDefault="008E583B" w:rsidP="002F26E1">
            <w:pPr>
              <w:spacing w:after="0" w:line="240" w:lineRule="auto"/>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Bien manufacturés</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center"/>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1,97</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1,21</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5,11</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9,99</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7,23</w:t>
            </w:r>
          </w:p>
        </w:tc>
        <w:tc>
          <w:tcPr>
            <w:tcW w:w="830" w:type="dxa"/>
            <w:tcBorders>
              <w:top w:val="nil"/>
              <w:left w:val="nil"/>
              <w:bottom w:val="nil"/>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5,06</w:t>
            </w:r>
          </w:p>
        </w:tc>
        <w:tc>
          <w:tcPr>
            <w:tcW w:w="831" w:type="dxa"/>
            <w:tcBorders>
              <w:top w:val="nil"/>
              <w:left w:val="nil"/>
              <w:bottom w:val="nil"/>
              <w:right w:val="single" w:sz="8" w:space="0" w:color="auto"/>
            </w:tcBorders>
            <w:shd w:val="clear" w:color="auto" w:fill="F7CAAC"/>
            <w:vAlign w:val="center"/>
            <w:hideMark/>
          </w:tcPr>
          <w:p w:rsidR="008E583B" w:rsidRPr="00C9265C" w:rsidRDefault="00A546F3" w:rsidP="002F26E1">
            <w:pPr>
              <w:spacing w:after="0" w:line="240" w:lineRule="auto"/>
              <w:jc w:val="right"/>
              <w:rPr>
                <w:rFonts w:eastAsia="Times New Roman" w:cs="Times New Roman"/>
                <w:b/>
                <w:bCs/>
                <w:color w:val="000000"/>
                <w:sz w:val="18"/>
                <w:szCs w:val="18"/>
                <w:lang w:eastAsia="fr-FR"/>
              </w:rPr>
            </w:pPr>
            <w:r>
              <w:rPr>
                <w:rFonts w:eastAsia="Times New Roman" w:cs="Times New Roman"/>
                <w:b/>
                <w:bCs/>
                <w:color w:val="000000"/>
                <w:sz w:val="18"/>
                <w:szCs w:val="18"/>
                <w:lang w:eastAsia="fr-FR"/>
              </w:rPr>
              <w:t>4,23</w:t>
            </w:r>
          </w:p>
        </w:tc>
      </w:tr>
      <w:tr w:rsidR="008E583B" w:rsidRPr="008E0A90" w:rsidTr="008E583B">
        <w:trPr>
          <w:trHeight w:val="315"/>
        </w:trPr>
        <w:tc>
          <w:tcPr>
            <w:tcW w:w="3261" w:type="dxa"/>
            <w:tcBorders>
              <w:top w:val="nil"/>
              <w:left w:val="single" w:sz="8" w:space="0" w:color="auto"/>
              <w:bottom w:val="single" w:sz="8" w:space="0" w:color="auto"/>
              <w:right w:val="single" w:sz="8" w:space="0" w:color="auto"/>
            </w:tcBorders>
            <w:shd w:val="clear" w:color="000000" w:fill="FFFF00"/>
            <w:vAlign w:val="center"/>
            <w:hideMark/>
          </w:tcPr>
          <w:p w:rsidR="008E583B" w:rsidRPr="00C9265C" w:rsidRDefault="008E583B" w:rsidP="002F26E1">
            <w:pPr>
              <w:spacing w:after="0" w:line="240" w:lineRule="auto"/>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Services</w:t>
            </w:r>
          </w:p>
        </w:tc>
        <w:tc>
          <w:tcPr>
            <w:tcW w:w="830" w:type="dxa"/>
            <w:tcBorders>
              <w:top w:val="nil"/>
              <w:left w:val="nil"/>
              <w:bottom w:val="single" w:sz="8" w:space="0" w:color="auto"/>
              <w:right w:val="single" w:sz="8" w:space="0" w:color="auto"/>
            </w:tcBorders>
            <w:shd w:val="clear" w:color="auto" w:fill="F7CAAC"/>
            <w:vAlign w:val="center"/>
            <w:hideMark/>
          </w:tcPr>
          <w:p w:rsidR="008E583B" w:rsidRPr="00C9265C" w:rsidRDefault="008E583B" w:rsidP="002F26E1">
            <w:pPr>
              <w:spacing w:after="0" w:line="240" w:lineRule="auto"/>
              <w:jc w:val="center"/>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6,22</w:t>
            </w:r>
          </w:p>
        </w:tc>
        <w:tc>
          <w:tcPr>
            <w:tcW w:w="830" w:type="dxa"/>
            <w:tcBorders>
              <w:top w:val="nil"/>
              <w:left w:val="nil"/>
              <w:bottom w:val="single" w:sz="8" w:space="0" w:color="auto"/>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3,74</w:t>
            </w:r>
          </w:p>
        </w:tc>
        <w:tc>
          <w:tcPr>
            <w:tcW w:w="830" w:type="dxa"/>
            <w:tcBorders>
              <w:top w:val="nil"/>
              <w:left w:val="nil"/>
              <w:bottom w:val="single" w:sz="8" w:space="0" w:color="auto"/>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5,35</w:t>
            </w:r>
          </w:p>
        </w:tc>
        <w:tc>
          <w:tcPr>
            <w:tcW w:w="830" w:type="dxa"/>
            <w:tcBorders>
              <w:top w:val="nil"/>
              <w:left w:val="nil"/>
              <w:bottom w:val="single" w:sz="8" w:space="0" w:color="auto"/>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7,34</w:t>
            </w:r>
          </w:p>
        </w:tc>
        <w:tc>
          <w:tcPr>
            <w:tcW w:w="830" w:type="dxa"/>
            <w:tcBorders>
              <w:top w:val="nil"/>
              <w:left w:val="nil"/>
              <w:bottom w:val="single" w:sz="8" w:space="0" w:color="auto"/>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3,72</w:t>
            </w:r>
          </w:p>
        </w:tc>
        <w:tc>
          <w:tcPr>
            <w:tcW w:w="830" w:type="dxa"/>
            <w:tcBorders>
              <w:top w:val="nil"/>
              <w:left w:val="nil"/>
              <w:bottom w:val="single" w:sz="8" w:space="0" w:color="auto"/>
              <w:right w:val="single" w:sz="8" w:space="0" w:color="auto"/>
            </w:tcBorders>
            <w:shd w:val="clear" w:color="auto" w:fill="F7CAAC"/>
            <w:vAlign w:val="center"/>
            <w:hideMark/>
          </w:tcPr>
          <w:p w:rsidR="008E583B" w:rsidRPr="00C9265C" w:rsidRDefault="008E583B" w:rsidP="002F26E1">
            <w:pPr>
              <w:spacing w:after="0" w:line="240" w:lineRule="auto"/>
              <w:jc w:val="right"/>
              <w:rPr>
                <w:rFonts w:eastAsia="Times New Roman" w:cs="Times New Roman"/>
                <w:b/>
                <w:bCs/>
                <w:color w:val="000000"/>
                <w:sz w:val="18"/>
                <w:szCs w:val="18"/>
                <w:lang w:eastAsia="fr-FR"/>
              </w:rPr>
            </w:pPr>
            <w:r w:rsidRPr="00C9265C">
              <w:rPr>
                <w:rFonts w:eastAsia="Times New Roman" w:cs="Times New Roman"/>
                <w:b/>
                <w:bCs/>
                <w:color w:val="000000"/>
                <w:sz w:val="18"/>
                <w:szCs w:val="18"/>
                <w:lang w:eastAsia="fr-FR"/>
              </w:rPr>
              <w:t>4,97</w:t>
            </w:r>
          </w:p>
        </w:tc>
        <w:tc>
          <w:tcPr>
            <w:tcW w:w="831" w:type="dxa"/>
            <w:tcBorders>
              <w:top w:val="nil"/>
              <w:left w:val="nil"/>
              <w:bottom w:val="single" w:sz="8" w:space="0" w:color="auto"/>
              <w:right w:val="single" w:sz="8" w:space="0" w:color="auto"/>
            </w:tcBorders>
            <w:shd w:val="clear" w:color="auto" w:fill="F7CAAC"/>
            <w:vAlign w:val="center"/>
            <w:hideMark/>
          </w:tcPr>
          <w:p w:rsidR="008E583B" w:rsidRPr="00C9265C" w:rsidRDefault="00A546F3" w:rsidP="002F26E1">
            <w:pPr>
              <w:spacing w:after="0" w:line="240" w:lineRule="auto"/>
              <w:jc w:val="right"/>
              <w:rPr>
                <w:rFonts w:eastAsia="Times New Roman" w:cs="Times New Roman"/>
                <w:b/>
                <w:bCs/>
                <w:color w:val="000000"/>
                <w:sz w:val="18"/>
                <w:szCs w:val="18"/>
                <w:lang w:eastAsia="fr-FR"/>
              </w:rPr>
            </w:pPr>
            <w:r>
              <w:rPr>
                <w:rFonts w:eastAsia="Times New Roman" w:cs="Times New Roman"/>
                <w:b/>
                <w:bCs/>
                <w:color w:val="000000"/>
                <w:sz w:val="18"/>
                <w:szCs w:val="18"/>
                <w:lang w:eastAsia="fr-FR"/>
              </w:rPr>
              <w:t>3,65</w:t>
            </w:r>
          </w:p>
        </w:tc>
      </w:tr>
    </w:tbl>
    <w:p w:rsidR="008E583B" w:rsidRPr="00284029" w:rsidRDefault="008E583B" w:rsidP="008E583B">
      <w:pPr>
        <w:jc w:val="both"/>
        <w:rPr>
          <w:sz w:val="20"/>
          <w:szCs w:val="20"/>
        </w:rPr>
      </w:pPr>
      <w:r w:rsidRPr="00284029">
        <w:rPr>
          <w:sz w:val="20"/>
          <w:szCs w:val="20"/>
        </w:rPr>
        <w:t>Source : Office National des Statistiques (ONS).</w:t>
      </w:r>
    </w:p>
    <w:p w:rsidR="008E583B" w:rsidRDefault="008E583B" w:rsidP="008E583B">
      <w:pPr>
        <w:jc w:val="both"/>
        <w:rPr>
          <w:sz w:val="24"/>
          <w:szCs w:val="24"/>
        </w:rPr>
      </w:pPr>
    </w:p>
    <w:p w:rsidR="008E583B" w:rsidRDefault="008E583B" w:rsidP="008E583B">
      <w:pPr>
        <w:jc w:val="both"/>
        <w:rPr>
          <w:sz w:val="24"/>
          <w:szCs w:val="24"/>
        </w:rPr>
      </w:pPr>
    </w:p>
    <w:p w:rsidR="008E583B" w:rsidRDefault="008E583B" w:rsidP="008E583B">
      <w:pPr>
        <w:jc w:val="both"/>
        <w:rPr>
          <w:sz w:val="24"/>
          <w:szCs w:val="24"/>
        </w:rPr>
      </w:pPr>
    </w:p>
    <w:p w:rsidR="008E583B" w:rsidRDefault="008E583B" w:rsidP="008E583B">
      <w:pPr>
        <w:jc w:val="both"/>
        <w:rPr>
          <w:sz w:val="24"/>
          <w:szCs w:val="24"/>
        </w:rPr>
      </w:pPr>
    </w:p>
    <w:p w:rsidR="008E583B" w:rsidRDefault="008E583B" w:rsidP="008E583B">
      <w:pPr>
        <w:jc w:val="both"/>
        <w:rPr>
          <w:sz w:val="24"/>
          <w:szCs w:val="24"/>
        </w:rPr>
      </w:pPr>
    </w:p>
    <w:p w:rsidR="008E583B" w:rsidRDefault="008E583B" w:rsidP="008E583B">
      <w:pPr>
        <w:jc w:val="both"/>
        <w:rPr>
          <w:sz w:val="24"/>
          <w:szCs w:val="24"/>
        </w:rPr>
      </w:pPr>
    </w:p>
    <w:p w:rsidR="008E583B" w:rsidRDefault="008E583B" w:rsidP="008E583B">
      <w:pPr>
        <w:jc w:val="both"/>
        <w:rPr>
          <w:sz w:val="24"/>
          <w:szCs w:val="24"/>
        </w:rPr>
      </w:pPr>
    </w:p>
    <w:p w:rsidR="00EF2114" w:rsidRDefault="00EF2114" w:rsidP="008E583B">
      <w:pPr>
        <w:jc w:val="both"/>
        <w:rPr>
          <w:sz w:val="24"/>
          <w:szCs w:val="24"/>
        </w:rPr>
      </w:pPr>
    </w:p>
    <w:p w:rsidR="008E583B" w:rsidRPr="005B51C2" w:rsidRDefault="008E583B" w:rsidP="008E583B">
      <w:pPr>
        <w:spacing w:after="0" w:line="240" w:lineRule="auto"/>
        <w:jc w:val="center"/>
        <w:rPr>
          <w:b/>
          <w:bCs/>
        </w:rPr>
      </w:pPr>
      <w:r w:rsidRPr="005B51C2">
        <w:rPr>
          <w:b/>
          <w:bCs/>
        </w:rPr>
        <w:lastRenderedPageBreak/>
        <w:t xml:space="preserve">Tab N°7- </w:t>
      </w:r>
      <w:r>
        <w:rPr>
          <w:b/>
          <w:bCs/>
        </w:rPr>
        <w:t>P</w:t>
      </w:r>
      <w:r w:rsidRPr="005B51C2">
        <w:rPr>
          <w:b/>
          <w:bCs/>
        </w:rPr>
        <w:t xml:space="preserve">rincipaux </w:t>
      </w:r>
      <w:r>
        <w:rPr>
          <w:b/>
          <w:bCs/>
        </w:rPr>
        <w:t>indicateurs de la démographie</w:t>
      </w:r>
    </w:p>
    <w:p w:rsidR="008E583B" w:rsidRDefault="008E583B" w:rsidP="008E583B">
      <w:pPr>
        <w:spacing w:after="0" w:line="240" w:lineRule="auto"/>
        <w:jc w:val="center"/>
        <w:rPr>
          <w:sz w:val="24"/>
          <w:szCs w:val="24"/>
        </w:rPr>
      </w:pPr>
    </w:p>
    <w:tbl>
      <w:tblPr>
        <w:tblW w:w="10026" w:type="dxa"/>
        <w:tblInd w:w="-356" w:type="dxa"/>
        <w:tblCellMar>
          <w:left w:w="70" w:type="dxa"/>
          <w:right w:w="70" w:type="dxa"/>
        </w:tblCellMar>
        <w:tblLook w:val="04A0" w:firstRow="1" w:lastRow="0" w:firstColumn="1" w:lastColumn="0" w:noHBand="0" w:noVBand="1"/>
      </w:tblPr>
      <w:tblGrid>
        <w:gridCol w:w="3906"/>
        <w:gridCol w:w="1200"/>
        <w:gridCol w:w="960"/>
        <w:gridCol w:w="960"/>
        <w:gridCol w:w="840"/>
        <w:gridCol w:w="1080"/>
        <w:gridCol w:w="1080"/>
      </w:tblGrid>
      <w:tr w:rsidR="008E583B" w:rsidRPr="008E0A90" w:rsidTr="008E583B">
        <w:trPr>
          <w:trHeight w:hRule="exact" w:val="284"/>
        </w:trPr>
        <w:tc>
          <w:tcPr>
            <w:tcW w:w="3906" w:type="dxa"/>
            <w:tcBorders>
              <w:top w:val="single" w:sz="12" w:space="0" w:color="auto"/>
              <w:left w:val="single" w:sz="12" w:space="0" w:color="auto"/>
              <w:bottom w:val="single" w:sz="8" w:space="0" w:color="auto"/>
              <w:right w:val="single" w:sz="8" w:space="0" w:color="auto"/>
            </w:tcBorders>
            <w:shd w:val="clear" w:color="000000" w:fill="FDE9D9"/>
            <w:noWrap/>
            <w:vAlign w:val="bottom"/>
            <w:hideMark/>
          </w:tcPr>
          <w:p w:rsidR="008E583B" w:rsidRPr="00EF012D" w:rsidRDefault="008E583B" w:rsidP="002F26E1">
            <w:pPr>
              <w:spacing w:after="0" w:line="240" w:lineRule="auto"/>
              <w:jc w:val="center"/>
              <w:rPr>
                <w:rFonts w:eastAsia="Times New Roman" w:cs="Times New Roman"/>
                <w:b/>
                <w:bCs/>
                <w:color w:val="000000"/>
                <w:sz w:val="20"/>
                <w:szCs w:val="20"/>
                <w:lang w:eastAsia="fr-FR"/>
              </w:rPr>
            </w:pPr>
            <w:r w:rsidRPr="00EF012D">
              <w:rPr>
                <w:rFonts w:eastAsia="Times New Roman" w:cs="Times New Roman"/>
                <w:b/>
                <w:bCs/>
                <w:color w:val="000000"/>
                <w:sz w:val="20"/>
                <w:szCs w:val="20"/>
                <w:lang w:eastAsia="fr-FR"/>
              </w:rPr>
              <w:t>Années</w:t>
            </w:r>
          </w:p>
        </w:tc>
        <w:tc>
          <w:tcPr>
            <w:tcW w:w="1200" w:type="dxa"/>
            <w:tcBorders>
              <w:top w:val="single" w:sz="12" w:space="0" w:color="auto"/>
              <w:left w:val="nil"/>
              <w:bottom w:val="single" w:sz="8" w:space="0" w:color="auto"/>
              <w:right w:val="single" w:sz="8" w:space="0" w:color="auto"/>
            </w:tcBorders>
            <w:shd w:val="clear" w:color="000000" w:fill="FDE9D9"/>
            <w:vAlign w:val="bottom"/>
            <w:hideMark/>
          </w:tcPr>
          <w:p w:rsidR="008E583B" w:rsidRPr="00EF012D" w:rsidRDefault="008E583B" w:rsidP="002F26E1">
            <w:pPr>
              <w:spacing w:after="0" w:line="240" w:lineRule="auto"/>
              <w:jc w:val="center"/>
              <w:rPr>
                <w:rFonts w:eastAsia="Times New Roman" w:cs="Times New Roman"/>
                <w:b/>
                <w:bCs/>
                <w:color w:val="000000"/>
                <w:sz w:val="20"/>
                <w:szCs w:val="20"/>
                <w:lang w:eastAsia="fr-FR"/>
              </w:rPr>
            </w:pPr>
            <w:r w:rsidRPr="00EF012D">
              <w:rPr>
                <w:rFonts w:eastAsia="Times New Roman" w:cs="Times New Roman"/>
                <w:b/>
                <w:bCs/>
                <w:color w:val="000000"/>
                <w:sz w:val="20"/>
                <w:szCs w:val="20"/>
                <w:lang w:eastAsia="fr-FR"/>
              </w:rPr>
              <w:t>2013</w:t>
            </w:r>
          </w:p>
        </w:tc>
        <w:tc>
          <w:tcPr>
            <w:tcW w:w="960" w:type="dxa"/>
            <w:tcBorders>
              <w:top w:val="single" w:sz="12" w:space="0" w:color="auto"/>
              <w:left w:val="nil"/>
              <w:bottom w:val="single" w:sz="8" w:space="0" w:color="auto"/>
              <w:right w:val="single" w:sz="8" w:space="0" w:color="auto"/>
            </w:tcBorders>
            <w:shd w:val="clear" w:color="000000" w:fill="FDE9D9"/>
            <w:vAlign w:val="bottom"/>
            <w:hideMark/>
          </w:tcPr>
          <w:p w:rsidR="008E583B" w:rsidRPr="00EF012D" w:rsidRDefault="008E583B" w:rsidP="002F26E1">
            <w:pPr>
              <w:spacing w:after="0" w:line="240" w:lineRule="auto"/>
              <w:jc w:val="center"/>
              <w:rPr>
                <w:rFonts w:eastAsia="Times New Roman" w:cs="Times New Roman"/>
                <w:b/>
                <w:bCs/>
                <w:color w:val="000000"/>
                <w:sz w:val="20"/>
                <w:szCs w:val="20"/>
                <w:lang w:eastAsia="fr-FR"/>
              </w:rPr>
            </w:pPr>
            <w:r w:rsidRPr="00EF012D">
              <w:rPr>
                <w:rFonts w:eastAsia="Times New Roman" w:cs="Times New Roman"/>
                <w:b/>
                <w:bCs/>
                <w:color w:val="000000"/>
                <w:sz w:val="20"/>
                <w:szCs w:val="20"/>
                <w:lang w:eastAsia="fr-FR"/>
              </w:rPr>
              <w:t>2014</w:t>
            </w:r>
          </w:p>
        </w:tc>
        <w:tc>
          <w:tcPr>
            <w:tcW w:w="960" w:type="dxa"/>
            <w:tcBorders>
              <w:top w:val="single" w:sz="12" w:space="0" w:color="auto"/>
              <w:left w:val="nil"/>
              <w:bottom w:val="single" w:sz="8" w:space="0" w:color="auto"/>
              <w:right w:val="single" w:sz="8" w:space="0" w:color="auto"/>
            </w:tcBorders>
            <w:shd w:val="clear" w:color="000000" w:fill="FDE9D9"/>
            <w:vAlign w:val="bottom"/>
            <w:hideMark/>
          </w:tcPr>
          <w:p w:rsidR="008E583B" w:rsidRPr="00EF012D" w:rsidRDefault="008E583B" w:rsidP="002F26E1">
            <w:pPr>
              <w:spacing w:after="0" w:line="240" w:lineRule="auto"/>
              <w:jc w:val="center"/>
              <w:rPr>
                <w:rFonts w:eastAsia="Times New Roman" w:cs="Times New Roman"/>
                <w:b/>
                <w:bCs/>
                <w:color w:val="000000"/>
                <w:sz w:val="20"/>
                <w:szCs w:val="20"/>
                <w:lang w:eastAsia="fr-FR"/>
              </w:rPr>
            </w:pPr>
            <w:r w:rsidRPr="00EF012D">
              <w:rPr>
                <w:rFonts w:eastAsia="Times New Roman" w:cs="Times New Roman"/>
                <w:b/>
                <w:bCs/>
                <w:color w:val="000000"/>
                <w:sz w:val="20"/>
                <w:szCs w:val="20"/>
                <w:lang w:eastAsia="fr-FR"/>
              </w:rPr>
              <w:t>2015</w:t>
            </w:r>
          </w:p>
        </w:tc>
        <w:tc>
          <w:tcPr>
            <w:tcW w:w="840" w:type="dxa"/>
            <w:tcBorders>
              <w:top w:val="single" w:sz="12" w:space="0" w:color="auto"/>
              <w:left w:val="nil"/>
              <w:bottom w:val="single" w:sz="8" w:space="0" w:color="auto"/>
              <w:right w:val="single" w:sz="8" w:space="0" w:color="auto"/>
            </w:tcBorders>
            <w:shd w:val="clear" w:color="000000" w:fill="FDE9D9"/>
            <w:vAlign w:val="bottom"/>
            <w:hideMark/>
          </w:tcPr>
          <w:p w:rsidR="008E583B" w:rsidRPr="00EF012D" w:rsidRDefault="008E583B" w:rsidP="002F26E1">
            <w:pPr>
              <w:spacing w:after="0" w:line="240" w:lineRule="auto"/>
              <w:jc w:val="center"/>
              <w:rPr>
                <w:rFonts w:eastAsia="Times New Roman" w:cs="Times New Roman"/>
                <w:b/>
                <w:bCs/>
                <w:color w:val="000000"/>
                <w:sz w:val="20"/>
                <w:szCs w:val="20"/>
                <w:lang w:eastAsia="fr-FR"/>
              </w:rPr>
            </w:pPr>
            <w:r w:rsidRPr="00EF012D">
              <w:rPr>
                <w:rFonts w:eastAsia="Times New Roman" w:cs="Times New Roman"/>
                <w:b/>
                <w:bCs/>
                <w:color w:val="000000"/>
                <w:sz w:val="20"/>
                <w:szCs w:val="20"/>
                <w:lang w:eastAsia="fr-FR"/>
              </w:rPr>
              <w:t>2016</w:t>
            </w:r>
          </w:p>
        </w:tc>
        <w:tc>
          <w:tcPr>
            <w:tcW w:w="1080" w:type="dxa"/>
            <w:tcBorders>
              <w:top w:val="single" w:sz="12" w:space="0" w:color="auto"/>
              <w:left w:val="nil"/>
              <w:bottom w:val="single" w:sz="8" w:space="0" w:color="auto"/>
              <w:right w:val="single" w:sz="12" w:space="0" w:color="auto"/>
            </w:tcBorders>
            <w:shd w:val="clear" w:color="000000" w:fill="FDE9D9"/>
            <w:hideMark/>
          </w:tcPr>
          <w:p w:rsidR="008E583B" w:rsidRPr="00EF012D" w:rsidRDefault="008E583B" w:rsidP="002F26E1">
            <w:pPr>
              <w:spacing w:after="0" w:line="240" w:lineRule="auto"/>
              <w:jc w:val="center"/>
              <w:rPr>
                <w:rFonts w:ascii="Times New Roman" w:eastAsia="Times New Roman" w:hAnsi="Times New Roman" w:cs="Times New Roman"/>
                <w:b/>
                <w:bCs/>
                <w:color w:val="000000"/>
                <w:sz w:val="20"/>
                <w:szCs w:val="20"/>
                <w:lang w:eastAsia="fr-FR"/>
              </w:rPr>
            </w:pPr>
            <w:r w:rsidRPr="00EF012D">
              <w:rPr>
                <w:rFonts w:eastAsia="Times New Roman" w:cs="Times New Roman" w:hint="cs"/>
                <w:b/>
                <w:bCs/>
                <w:color w:val="000000"/>
                <w:sz w:val="20"/>
                <w:szCs w:val="20"/>
                <w:rtl/>
                <w:lang w:eastAsia="fr-FR"/>
              </w:rPr>
              <w:t>2017</w:t>
            </w:r>
          </w:p>
        </w:tc>
        <w:tc>
          <w:tcPr>
            <w:tcW w:w="1080" w:type="dxa"/>
            <w:tcBorders>
              <w:top w:val="single" w:sz="12" w:space="0" w:color="auto"/>
              <w:left w:val="nil"/>
              <w:bottom w:val="single" w:sz="8" w:space="0" w:color="auto"/>
              <w:right w:val="single" w:sz="12" w:space="0" w:color="auto"/>
            </w:tcBorders>
            <w:shd w:val="clear" w:color="000000" w:fill="FDE9D9"/>
            <w:hideMark/>
          </w:tcPr>
          <w:p w:rsidR="008E583B" w:rsidRPr="00EF012D" w:rsidRDefault="008E583B" w:rsidP="002F26E1">
            <w:pPr>
              <w:spacing w:after="0" w:line="240" w:lineRule="auto"/>
              <w:jc w:val="center"/>
              <w:rPr>
                <w:rFonts w:eastAsia="Times New Roman" w:cs="Times New Roman"/>
                <w:b/>
                <w:bCs/>
                <w:color w:val="000000"/>
                <w:sz w:val="20"/>
                <w:szCs w:val="20"/>
                <w:lang w:eastAsia="fr-FR"/>
              </w:rPr>
            </w:pPr>
            <w:r w:rsidRPr="00EF012D">
              <w:rPr>
                <w:rFonts w:eastAsia="Times New Roman" w:cs="Times New Roman"/>
                <w:b/>
                <w:bCs/>
                <w:color w:val="000000"/>
                <w:sz w:val="20"/>
                <w:szCs w:val="20"/>
                <w:lang w:eastAsia="fr-FR"/>
              </w:rPr>
              <w:t>2018</w:t>
            </w:r>
          </w:p>
        </w:tc>
      </w:tr>
      <w:tr w:rsidR="008E583B" w:rsidRPr="008E0A90" w:rsidTr="008E583B">
        <w:trPr>
          <w:trHeight w:hRule="exact" w:val="284"/>
        </w:trPr>
        <w:tc>
          <w:tcPr>
            <w:tcW w:w="10026" w:type="dxa"/>
            <w:gridSpan w:val="7"/>
            <w:tcBorders>
              <w:top w:val="single" w:sz="8" w:space="0" w:color="auto"/>
              <w:left w:val="single" w:sz="12" w:space="0" w:color="auto"/>
              <w:bottom w:val="single" w:sz="8" w:space="0" w:color="auto"/>
              <w:right w:val="single" w:sz="12" w:space="0" w:color="000000"/>
            </w:tcBorders>
            <w:shd w:val="clear" w:color="000000" w:fill="FBD4B4"/>
            <w:vAlign w:val="bottom"/>
            <w:hideMark/>
          </w:tcPr>
          <w:p w:rsidR="008E583B" w:rsidRPr="00EF012D" w:rsidRDefault="008E583B" w:rsidP="002F26E1">
            <w:pPr>
              <w:spacing w:after="0" w:line="240" w:lineRule="auto"/>
              <w:jc w:val="center"/>
              <w:rPr>
                <w:rFonts w:eastAsia="Times New Roman" w:cs="Times New Roman"/>
                <w:b/>
                <w:bCs/>
                <w:color w:val="000000"/>
                <w:sz w:val="20"/>
                <w:szCs w:val="20"/>
                <w:lang w:eastAsia="fr-FR"/>
              </w:rPr>
            </w:pPr>
            <w:r w:rsidRPr="00EF012D">
              <w:rPr>
                <w:rFonts w:eastAsia="Times New Roman" w:cs="Times New Roman"/>
                <w:b/>
                <w:bCs/>
                <w:smallCaps/>
                <w:color w:val="000000"/>
                <w:sz w:val="20"/>
                <w:szCs w:val="20"/>
                <w:lang w:eastAsia="fr-FR"/>
              </w:rPr>
              <w:t>Population</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auto" w:fill="auto"/>
            <w:noWrap/>
            <w:vAlign w:val="center"/>
            <w:hideMark/>
          </w:tcPr>
          <w:p w:rsidR="008E583B" w:rsidRPr="00952AC6" w:rsidRDefault="008E583B" w:rsidP="002F26E1">
            <w:pPr>
              <w:spacing w:line="240" w:lineRule="auto"/>
              <w:rPr>
                <w:rFonts w:cs="Arabic Transparent"/>
                <w:sz w:val="20"/>
                <w:szCs w:val="20"/>
                <w:rtl/>
              </w:rPr>
            </w:pPr>
            <w:r w:rsidRPr="00952AC6">
              <w:rPr>
                <w:rFonts w:hint="cs"/>
                <w:sz w:val="20"/>
                <w:szCs w:val="20"/>
                <w:rtl/>
              </w:rPr>
              <w:t xml:space="preserve">    </w:t>
            </w:r>
            <w:r w:rsidRPr="00952AC6">
              <w:rPr>
                <w:sz w:val="20"/>
                <w:szCs w:val="20"/>
              </w:rPr>
              <w:t>Population au milieu de l’année (en milliers)</w:t>
            </w:r>
          </w:p>
        </w:tc>
        <w:tc>
          <w:tcPr>
            <w:tcW w:w="1200" w:type="dxa"/>
            <w:tcBorders>
              <w:top w:val="nil"/>
              <w:left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38 297</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39 114</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39 963</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40 836</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41 721</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42 578</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952AC6" w:rsidRDefault="008E583B" w:rsidP="002F26E1">
            <w:pPr>
              <w:spacing w:line="240" w:lineRule="auto"/>
              <w:rPr>
                <w:rFonts w:cs="Arabic Transparent"/>
                <w:sz w:val="20"/>
                <w:szCs w:val="20"/>
                <w:rtl/>
                <w:lang w:bidi="ar-DZ"/>
              </w:rPr>
            </w:pPr>
            <w:r w:rsidRPr="00952AC6">
              <w:rPr>
                <w:rFonts w:cs="Arabic Transparent" w:hint="cs"/>
                <w:sz w:val="20"/>
                <w:szCs w:val="20"/>
                <w:rtl/>
                <w:lang w:bidi="ar-DZ"/>
              </w:rPr>
              <w:t xml:space="preserve">    </w:t>
            </w:r>
            <w:r w:rsidRPr="00952AC6">
              <w:rPr>
                <w:rFonts w:cs="Arabic Transparent"/>
                <w:sz w:val="20"/>
                <w:szCs w:val="20"/>
                <w:lang w:bidi="ar-DZ"/>
              </w:rPr>
              <w:t>Accroissement naturel (en milliers)</w:t>
            </w:r>
          </w:p>
        </w:tc>
        <w:tc>
          <w:tcPr>
            <w:tcW w:w="1200" w:type="dxa"/>
            <w:tcBorders>
              <w:top w:val="nil"/>
              <w:left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795</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840</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858</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886</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870</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rtl/>
                <w:lang w:eastAsia="fr-FR"/>
              </w:rPr>
              <w:t>845</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952AC6" w:rsidRDefault="008E583B" w:rsidP="002F26E1">
            <w:pPr>
              <w:spacing w:line="240" w:lineRule="auto"/>
              <w:rPr>
                <w:rFonts w:cs="Arabic Transparent"/>
                <w:sz w:val="20"/>
                <w:szCs w:val="20"/>
                <w:lang w:bidi="ar-DZ"/>
              </w:rPr>
            </w:pPr>
            <w:r w:rsidRPr="00952AC6">
              <w:rPr>
                <w:rFonts w:cs="Arabic Transparent" w:hint="cs"/>
                <w:sz w:val="20"/>
                <w:szCs w:val="20"/>
                <w:rtl/>
                <w:lang w:bidi="ar-DZ"/>
              </w:rPr>
              <w:t xml:space="preserve">   </w:t>
            </w:r>
            <w:r w:rsidRPr="00952AC6">
              <w:rPr>
                <w:rFonts w:cs="Arabic Transparent"/>
                <w:sz w:val="20"/>
                <w:szCs w:val="20"/>
                <w:lang w:bidi="ar-DZ"/>
              </w:rPr>
              <w:t xml:space="preserve"> Taux d’Accroissement Naturel (en %)</w:t>
            </w:r>
          </w:p>
        </w:tc>
        <w:tc>
          <w:tcPr>
            <w:tcW w:w="1200" w:type="dxa"/>
            <w:tcBorders>
              <w:top w:val="nil"/>
              <w:left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2,07</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2,15</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2,15</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2,17</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2,09</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rtl/>
                <w:lang w:eastAsia="fr-FR"/>
              </w:rPr>
              <w:t>1,99</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952AC6" w:rsidRDefault="008E583B" w:rsidP="002F26E1">
            <w:pPr>
              <w:spacing w:line="240" w:lineRule="auto"/>
              <w:rPr>
                <w:rFonts w:cs="Arabic Transparent"/>
                <w:sz w:val="20"/>
                <w:szCs w:val="20"/>
                <w:lang w:bidi="ar-DZ"/>
              </w:rPr>
            </w:pPr>
            <w:r w:rsidRPr="00952AC6">
              <w:rPr>
                <w:rFonts w:cs="Arabic Transparent" w:hint="cs"/>
                <w:sz w:val="20"/>
                <w:szCs w:val="20"/>
                <w:rtl/>
                <w:lang w:bidi="ar-DZ"/>
              </w:rPr>
              <w:t xml:space="preserve">    </w:t>
            </w:r>
            <w:r w:rsidRPr="00952AC6">
              <w:rPr>
                <w:rFonts w:cs="Arabic Transparent"/>
                <w:sz w:val="20"/>
                <w:szCs w:val="20"/>
                <w:lang w:bidi="ar-DZ"/>
              </w:rPr>
              <w:t>Taux de Dépendance Démographique Ensemble (en %)</w:t>
            </w:r>
          </w:p>
        </w:tc>
        <w:tc>
          <w:tcPr>
            <w:tcW w:w="1200" w:type="dxa"/>
            <w:tcBorders>
              <w:top w:val="nil"/>
              <w:left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57,3</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58,5</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60,1</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61,8</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63,5</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65,2</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952AC6" w:rsidRDefault="008E583B" w:rsidP="002F26E1">
            <w:pPr>
              <w:spacing w:line="240" w:lineRule="auto"/>
              <w:rPr>
                <w:rFonts w:cs="Arabic Transparent"/>
                <w:sz w:val="20"/>
                <w:szCs w:val="20"/>
                <w:lang w:bidi="ar-DZ"/>
              </w:rPr>
            </w:pPr>
            <w:r w:rsidRPr="00952AC6">
              <w:rPr>
                <w:rFonts w:cs="Arabic Transparent" w:hint="cs"/>
                <w:sz w:val="20"/>
                <w:szCs w:val="20"/>
                <w:rtl/>
                <w:lang w:bidi="ar-DZ"/>
              </w:rPr>
              <w:t xml:space="preserve">    </w:t>
            </w:r>
            <w:r w:rsidRPr="00952AC6">
              <w:rPr>
                <w:rFonts w:cs="Arabic Transparent"/>
                <w:sz w:val="20"/>
                <w:szCs w:val="20"/>
                <w:lang w:bidi="ar-DZ"/>
              </w:rPr>
              <w:t>Taux de Dépendance Démographique moins de 15 ans</w:t>
            </w:r>
          </w:p>
        </w:tc>
        <w:tc>
          <w:tcPr>
            <w:tcW w:w="1200" w:type="dxa"/>
            <w:tcBorders>
              <w:top w:val="nil"/>
              <w:left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44,2</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45</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46,1</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47,4</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48,6</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49,8</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952AC6" w:rsidRDefault="008E583B" w:rsidP="002F26E1">
            <w:pPr>
              <w:spacing w:line="240" w:lineRule="auto"/>
              <w:rPr>
                <w:rFonts w:cs="Arabic Transparent"/>
                <w:sz w:val="20"/>
                <w:szCs w:val="20"/>
                <w:lang w:bidi="ar-DZ"/>
              </w:rPr>
            </w:pPr>
            <w:r w:rsidRPr="00952AC6">
              <w:rPr>
                <w:rFonts w:cs="Arabic Transparent" w:hint="cs"/>
                <w:sz w:val="20"/>
                <w:szCs w:val="20"/>
                <w:rtl/>
                <w:lang w:bidi="ar-DZ"/>
              </w:rPr>
              <w:t xml:space="preserve"> </w:t>
            </w:r>
            <w:r w:rsidRPr="00952AC6">
              <w:rPr>
                <w:rFonts w:cs="Arabic Transparent"/>
                <w:sz w:val="20"/>
                <w:szCs w:val="20"/>
                <w:lang w:bidi="ar-DZ"/>
              </w:rPr>
              <w:t xml:space="preserve">     Taux de Dépendance Démographique 60 ans et plus</w:t>
            </w:r>
          </w:p>
        </w:tc>
        <w:tc>
          <w:tcPr>
            <w:tcW w:w="1200" w:type="dxa"/>
            <w:tcBorders>
              <w:top w:val="nil"/>
              <w:left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13,1</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13,5</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14</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14,4</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14,9</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15,4</w:t>
            </w:r>
          </w:p>
        </w:tc>
      </w:tr>
      <w:tr w:rsidR="008E583B" w:rsidRPr="008E0A90" w:rsidTr="008E583B">
        <w:trPr>
          <w:trHeight w:hRule="exact" w:val="284"/>
        </w:trPr>
        <w:tc>
          <w:tcPr>
            <w:tcW w:w="10026" w:type="dxa"/>
            <w:gridSpan w:val="7"/>
            <w:tcBorders>
              <w:top w:val="single" w:sz="8" w:space="0" w:color="auto"/>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Natalité- Fécondité</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auto" w:fill="auto"/>
            <w:noWrap/>
            <w:vAlign w:val="center"/>
            <w:hideMark/>
          </w:tcPr>
          <w:p w:rsidR="008E583B" w:rsidRPr="00BF0DF2" w:rsidRDefault="008E583B" w:rsidP="002F26E1">
            <w:pPr>
              <w:spacing w:line="240" w:lineRule="auto"/>
              <w:rPr>
                <w:rFonts w:cs="Arabic Transparent"/>
                <w:sz w:val="20"/>
                <w:szCs w:val="20"/>
                <w:lang w:bidi="ar-DZ"/>
              </w:rPr>
            </w:pPr>
            <w:r>
              <w:rPr>
                <w:rFonts w:cs="Arabic Transparent" w:hint="cs"/>
                <w:sz w:val="20"/>
                <w:szCs w:val="20"/>
                <w:rtl/>
                <w:lang w:bidi="ar-DZ"/>
              </w:rPr>
              <w:t xml:space="preserve">     </w:t>
            </w:r>
            <w:r w:rsidRPr="00BF0DF2">
              <w:rPr>
                <w:rFonts w:cs="Arabic Transparent"/>
                <w:sz w:val="20"/>
                <w:szCs w:val="20"/>
                <w:lang w:bidi="ar-DZ"/>
              </w:rPr>
              <w:t>Nombre de Naissances (en milliers)</w:t>
            </w:r>
          </w:p>
        </w:tc>
        <w:tc>
          <w:tcPr>
            <w:tcW w:w="1200" w:type="dxa"/>
            <w:tcBorders>
              <w:top w:val="nil"/>
              <w:left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963</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1 014</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1 040</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1 067</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1 060</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1 038</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BF0DF2" w:rsidRDefault="008E583B" w:rsidP="002F26E1">
            <w:pPr>
              <w:spacing w:line="240" w:lineRule="auto"/>
              <w:rPr>
                <w:rFonts w:cs="Arabic Transparent"/>
                <w:sz w:val="20"/>
                <w:szCs w:val="20"/>
                <w:lang w:bidi="ar-DZ"/>
              </w:rPr>
            </w:pPr>
            <w:r>
              <w:rPr>
                <w:rFonts w:cs="Arabic Transparent" w:hint="cs"/>
                <w:sz w:val="20"/>
                <w:szCs w:val="20"/>
                <w:rtl/>
                <w:lang w:bidi="ar-DZ"/>
              </w:rPr>
              <w:t xml:space="preserve">     </w:t>
            </w:r>
            <w:r w:rsidRPr="00BF0DF2">
              <w:rPr>
                <w:rFonts w:cs="Arabic Transparent"/>
                <w:sz w:val="20"/>
                <w:szCs w:val="20"/>
                <w:lang w:bidi="ar-DZ"/>
              </w:rPr>
              <w:t>Taux Brut de Natalité (en ‰)</w:t>
            </w:r>
          </w:p>
        </w:tc>
        <w:tc>
          <w:tcPr>
            <w:tcW w:w="1200" w:type="dxa"/>
            <w:tcBorders>
              <w:top w:val="nil"/>
              <w:left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25,14</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25,93</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26,03</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26,12</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25,4</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24,39</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auto" w:fill="auto"/>
            <w:noWrap/>
            <w:vAlign w:val="center"/>
            <w:hideMark/>
          </w:tcPr>
          <w:p w:rsidR="008E583B" w:rsidRPr="00BF0DF2" w:rsidRDefault="008E583B" w:rsidP="002F26E1">
            <w:pPr>
              <w:spacing w:line="240" w:lineRule="auto"/>
              <w:rPr>
                <w:rFonts w:cs="Arabic Transparent"/>
                <w:sz w:val="20"/>
                <w:szCs w:val="20"/>
                <w:lang w:bidi="ar-DZ"/>
              </w:rPr>
            </w:pPr>
            <w:r>
              <w:rPr>
                <w:rFonts w:cs="Arabic Transparent" w:hint="cs"/>
                <w:sz w:val="20"/>
                <w:szCs w:val="20"/>
                <w:rtl/>
                <w:lang w:bidi="ar-DZ"/>
              </w:rPr>
              <w:t xml:space="preserve"> </w:t>
            </w:r>
            <w:r>
              <w:rPr>
                <w:rFonts w:cs="Arabic Transparent"/>
                <w:sz w:val="20"/>
                <w:szCs w:val="20"/>
                <w:lang w:bidi="ar-DZ"/>
              </w:rPr>
              <w:t xml:space="preserve">      I</w:t>
            </w:r>
            <w:r w:rsidRPr="00BF0DF2">
              <w:rPr>
                <w:rFonts w:cs="Arabic Transparent"/>
                <w:sz w:val="20"/>
                <w:szCs w:val="20"/>
                <w:lang w:bidi="ar-DZ"/>
              </w:rPr>
              <w:t xml:space="preserve">ndice Conjoncturel de Fécondité (enfants/femme) </w:t>
            </w:r>
          </w:p>
        </w:tc>
        <w:tc>
          <w:tcPr>
            <w:tcW w:w="1200" w:type="dxa"/>
            <w:tcBorders>
              <w:top w:val="nil"/>
              <w:left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2,9</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3</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3,1</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3,1</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3,1</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3</w:t>
            </w:r>
          </w:p>
        </w:tc>
      </w:tr>
      <w:tr w:rsidR="008E583B" w:rsidRPr="008E0A90" w:rsidTr="008E583B">
        <w:trPr>
          <w:trHeight w:hRule="exact" w:val="284"/>
        </w:trPr>
        <w:tc>
          <w:tcPr>
            <w:tcW w:w="10026" w:type="dxa"/>
            <w:gridSpan w:val="7"/>
            <w:tcBorders>
              <w:top w:val="single" w:sz="8" w:space="0" w:color="auto"/>
              <w:left w:val="single" w:sz="8" w:space="0" w:color="auto"/>
              <w:bottom w:val="single" w:sz="8" w:space="0" w:color="auto"/>
              <w:right w:val="single" w:sz="8" w:space="0" w:color="auto"/>
            </w:tcBorders>
            <w:shd w:val="clear" w:color="auto" w:fill="F7CAAC"/>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Taux de fécondité par âge (en ‰)</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BF0DF2" w:rsidRDefault="008E583B" w:rsidP="002F26E1">
            <w:pPr>
              <w:spacing w:line="240" w:lineRule="auto"/>
              <w:rPr>
                <w:rFonts w:cs="Arabic Transparent"/>
                <w:sz w:val="20"/>
                <w:szCs w:val="20"/>
                <w:lang w:bidi="ar-DZ"/>
              </w:rPr>
            </w:pPr>
            <w:r>
              <w:rPr>
                <w:rFonts w:cs="Arabic Transparent" w:hint="cs"/>
                <w:sz w:val="20"/>
                <w:szCs w:val="20"/>
                <w:rtl/>
                <w:lang w:bidi="ar-DZ"/>
              </w:rPr>
              <w:t xml:space="preserve">     </w:t>
            </w:r>
            <w:r w:rsidRPr="00BF0DF2">
              <w:rPr>
                <w:rFonts w:cs="Arabic Transparent"/>
                <w:sz w:val="20"/>
                <w:szCs w:val="20"/>
                <w:lang w:bidi="ar-DZ"/>
              </w:rPr>
              <w:t>15-19 ans</w:t>
            </w:r>
          </w:p>
        </w:tc>
        <w:tc>
          <w:tcPr>
            <w:tcW w:w="1200" w:type="dxa"/>
            <w:tcBorders>
              <w:top w:val="nil"/>
              <w:left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9,8</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9,2</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9,7</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10,3</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9,8</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9,1</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BF0DF2" w:rsidRDefault="008E583B" w:rsidP="002F26E1">
            <w:pPr>
              <w:spacing w:line="240" w:lineRule="auto"/>
              <w:rPr>
                <w:rFonts w:cs="Arabic Transparent"/>
                <w:sz w:val="20"/>
                <w:szCs w:val="20"/>
                <w:lang w:bidi="ar-DZ"/>
              </w:rPr>
            </w:pPr>
            <w:r>
              <w:rPr>
                <w:rFonts w:cs="Arabic Transparent" w:hint="cs"/>
                <w:sz w:val="20"/>
                <w:szCs w:val="20"/>
                <w:rtl/>
                <w:lang w:bidi="ar-DZ"/>
              </w:rPr>
              <w:t xml:space="preserve">     </w:t>
            </w:r>
            <w:r w:rsidRPr="00BF0DF2">
              <w:rPr>
                <w:rFonts w:cs="Arabic Transparent"/>
                <w:sz w:val="20"/>
                <w:szCs w:val="20"/>
                <w:lang w:bidi="ar-DZ"/>
              </w:rPr>
              <w:t>20-24 ans</w:t>
            </w:r>
          </w:p>
        </w:tc>
        <w:tc>
          <w:tcPr>
            <w:tcW w:w="1200" w:type="dxa"/>
            <w:tcBorders>
              <w:top w:val="nil"/>
              <w:left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82,5</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83,8</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87</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91,2</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88</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84,4</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BF0DF2" w:rsidRDefault="008E583B" w:rsidP="002F26E1">
            <w:pPr>
              <w:spacing w:line="240" w:lineRule="auto"/>
              <w:rPr>
                <w:rFonts w:cs="Arabic Transparent"/>
                <w:sz w:val="20"/>
                <w:szCs w:val="20"/>
                <w:lang w:bidi="ar-DZ"/>
              </w:rPr>
            </w:pPr>
            <w:r>
              <w:rPr>
                <w:rFonts w:cs="Arabic Transparent" w:hint="cs"/>
                <w:sz w:val="20"/>
                <w:szCs w:val="20"/>
                <w:rtl/>
                <w:lang w:bidi="ar-DZ"/>
              </w:rPr>
              <w:t xml:space="preserve">     </w:t>
            </w:r>
            <w:r w:rsidRPr="00BF0DF2">
              <w:rPr>
                <w:rFonts w:cs="Arabic Transparent"/>
                <w:sz w:val="20"/>
                <w:szCs w:val="20"/>
                <w:lang w:bidi="ar-DZ"/>
              </w:rPr>
              <w:t>25-29 ans</w:t>
            </w:r>
          </w:p>
        </w:tc>
        <w:tc>
          <w:tcPr>
            <w:tcW w:w="1200" w:type="dxa"/>
            <w:tcBorders>
              <w:top w:val="nil"/>
              <w:left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156,3</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151</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156,8</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162,2</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158,6</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150,4</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BF0DF2" w:rsidRDefault="008E583B" w:rsidP="002F26E1">
            <w:pPr>
              <w:spacing w:line="240" w:lineRule="auto"/>
              <w:rPr>
                <w:rFonts w:cs="Arabic Transparent"/>
                <w:sz w:val="20"/>
                <w:szCs w:val="20"/>
                <w:lang w:bidi="ar-DZ"/>
              </w:rPr>
            </w:pPr>
            <w:r>
              <w:rPr>
                <w:rFonts w:cs="Arabic Transparent" w:hint="cs"/>
                <w:sz w:val="20"/>
                <w:szCs w:val="20"/>
                <w:rtl/>
                <w:lang w:bidi="ar-DZ"/>
              </w:rPr>
              <w:t xml:space="preserve">     </w:t>
            </w:r>
            <w:r w:rsidRPr="00BF0DF2">
              <w:rPr>
                <w:rFonts w:cs="Arabic Transparent"/>
                <w:sz w:val="20"/>
                <w:szCs w:val="20"/>
                <w:lang w:bidi="ar-DZ"/>
              </w:rPr>
              <w:t>30-34 ans</w:t>
            </w:r>
          </w:p>
        </w:tc>
        <w:tc>
          <w:tcPr>
            <w:tcW w:w="1200" w:type="dxa"/>
            <w:tcBorders>
              <w:top w:val="nil"/>
              <w:left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151,8</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165,5</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167,4</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168</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169,4</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160,9</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BF0DF2" w:rsidRDefault="008E583B" w:rsidP="002F26E1">
            <w:pPr>
              <w:spacing w:line="240" w:lineRule="auto"/>
              <w:rPr>
                <w:rFonts w:cs="Arabic Transparent"/>
                <w:sz w:val="20"/>
                <w:szCs w:val="20"/>
                <w:lang w:bidi="ar-DZ"/>
              </w:rPr>
            </w:pPr>
            <w:r>
              <w:rPr>
                <w:rFonts w:cs="Arabic Transparent" w:hint="cs"/>
                <w:sz w:val="20"/>
                <w:szCs w:val="20"/>
                <w:rtl/>
                <w:lang w:bidi="ar-DZ"/>
              </w:rPr>
              <w:t xml:space="preserve">     </w:t>
            </w:r>
            <w:r w:rsidRPr="00BF0DF2">
              <w:rPr>
                <w:rFonts w:cs="Arabic Transparent"/>
                <w:sz w:val="20"/>
                <w:szCs w:val="20"/>
                <w:lang w:bidi="ar-DZ"/>
              </w:rPr>
              <w:t>35-39 ans</w:t>
            </w:r>
          </w:p>
        </w:tc>
        <w:tc>
          <w:tcPr>
            <w:tcW w:w="1200" w:type="dxa"/>
            <w:tcBorders>
              <w:top w:val="nil"/>
              <w:left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118,4</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143,2</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126,3</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123,7</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127,8</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135,2</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BF0DF2" w:rsidRDefault="008E583B" w:rsidP="002F26E1">
            <w:pPr>
              <w:spacing w:line="240" w:lineRule="auto"/>
              <w:rPr>
                <w:rFonts w:cs="Arabic Transparent"/>
                <w:sz w:val="20"/>
                <w:szCs w:val="20"/>
                <w:lang w:bidi="ar-DZ"/>
              </w:rPr>
            </w:pPr>
            <w:r>
              <w:rPr>
                <w:rFonts w:cs="Arabic Transparent" w:hint="cs"/>
                <w:sz w:val="20"/>
                <w:szCs w:val="20"/>
                <w:rtl/>
                <w:lang w:bidi="ar-DZ"/>
              </w:rPr>
              <w:t xml:space="preserve">     </w:t>
            </w:r>
            <w:r w:rsidRPr="00BF0DF2">
              <w:rPr>
                <w:rFonts w:cs="Arabic Transparent"/>
                <w:sz w:val="20"/>
                <w:szCs w:val="20"/>
                <w:lang w:bidi="ar-DZ"/>
              </w:rPr>
              <w:t>40-44 ans</w:t>
            </w:r>
          </w:p>
        </w:tc>
        <w:tc>
          <w:tcPr>
            <w:tcW w:w="1200" w:type="dxa"/>
            <w:tcBorders>
              <w:top w:val="nil"/>
              <w:left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62,1</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51,4</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62</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62,1</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62,7</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48,5</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BF0DF2" w:rsidRDefault="008E583B" w:rsidP="002F26E1">
            <w:pPr>
              <w:spacing w:line="240" w:lineRule="auto"/>
              <w:rPr>
                <w:rFonts w:cs="Arabic Transparent"/>
                <w:sz w:val="20"/>
                <w:szCs w:val="20"/>
                <w:lang w:bidi="ar-DZ"/>
              </w:rPr>
            </w:pPr>
            <w:r>
              <w:rPr>
                <w:rFonts w:cs="Arabic Transparent" w:hint="cs"/>
                <w:sz w:val="20"/>
                <w:szCs w:val="20"/>
                <w:rtl/>
                <w:lang w:bidi="ar-DZ"/>
              </w:rPr>
              <w:t xml:space="preserve">     </w:t>
            </w:r>
            <w:r w:rsidRPr="00BF0DF2">
              <w:rPr>
                <w:rFonts w:cs="Arabic Transparent"/>
                <w:sz w:val="20"/>
                <w:szCs w:val="20"/>
                <w:lang w:bidi="ar-DZ"/>
              </w:rPr>
              <w:t>45-49 ans</w:t>
            </w:r>
          </w:p>
        </w:tc>
        <w:tc>
          <w:tcPr>
            <w:tcW w:w="1200" w:type="dxa"/>
            <w:tcBorders>
              <w:top w:val="nil"/>
              <w:left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6,3</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5,7</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8,9</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8,8</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9</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5,4</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auto" w:fill="auto"/>
            <w:noWrap/>
            <w:vAlign w:val="center"/>
            <w:hideMark/>
          </w:tcPr>
          <w:p w:rsidR="008E583B" w:rsidRPr="00BF0DF2" w:rsidRDefault="008E583B" w:rsidP="002F26E1">
            <w:pPr>
              <w:spacing w:line="240" w:lineRule="auto"/>
              <w:rPr>
                <w:rFonts w:cs="Arabic Transparent"/>
                <w:sz w:val="20"/>
                <w:szCs w:val="20"/>
                <w:lang w:bidi="ar-DZ"/>
              </w:rPr>
            </w:pPr>
            <w:r>
              <w:rPr>
                <w:rFonts w:cs="Arabic Transparent" w:hint="cs"/>
                <w:sz w:val="20"/>
                <w:szCs w:val="20"/>
                <w:rtl/>
                <w:lang w:bidi="ar-DZ"/>
              </w:rPr>
              <w:t xml:space="preserve">     </w:t>
            </w:r>
            <w:r w:rsidRPr="00BF0DF2">
              <w:rPr>
                <w:rFonts w:cs="Arabic Transparent"/>
                <w:sz w:val="20"/>
                <w:szCs w:val="20"/>
                <w:lang w:bidi="ar-DZ"/>
              </w:rPr>
              <w:t>Âge Moyen à la Maternité (en années)</w:t>
            </w:r>
          </w:p>
        </w:tc>
        <w:tc>
          <w:tcPr>
            <w:tcW w:w="1200" w:type="dxa"/>
            <w:tcBorders>
              <w:top w:val="nil"/>
              <w:left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31,7</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31,8</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31,8</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31,7</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31,8</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31,6</w:t>
            </w:r>
          </w:p>
        </w:tc>
      </w:tr>
      <w:tr w:rsidR="008E583B" w:rsidRPr="008E0A90" w:rsidTr="008E583B">
        <w:trPr>
          <w:trHeight w:hRule="exact" w:val="284"/>
        </w:trPr>
        <w:tc>
          <w:tcPr>
            <w:tcW w:w="10026" w:type="dxa"/>
            <w:gridSpan w:val="7"/>
            <w:tcBorders>
              <w:top w:val="single" w:sz="8" w:space="0" w:color="auto"/>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Mortalité générale</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BF0DF2" w:rsidRDefault="008E583B" w:rsidP="002F26E1">
            <w:pPr>
              <w:spacing w:line="240" w:lineRule="auto"/>
              <w:rPr>
                <w:rFonts w:cs="Arabic Transparent"/>
                <w:sz w:val="20"/>
                <w:szCs w:val="20"/>
                <w:lang w:bidi="ar-DZ"/>
              </w:rPr>
            </w:pPr>
            <w:r>
              <w:rPr>
                <w:rFonts w:cs="Arabic Transparent" w:hint="cs"/>
                <w:sz w:val="20"/>
                <w:szCs w:val="20"/>
                <w:rtl/>
                <w:lang w:bidi="ar-DZ"/>
              </w:rPr>
              <w:t xml:space="preserve">    </w:t>
            </w:r>
            <w:r w:rsidRPr="00BF0DF2">
              <w:rPr>
                <w:rFonts w:cs="Arabic Transparent"/>
                <w:sz w:val="20"/>
                <w:szCs w:val="20"/>
                <w:lang w:bidi="ar-DZ"/>
              </w:rPr>
              <w:t>Nombre de Décès (en milliers)</w:t>
            </w:r>
          </w:p>
        </w:tc>
        <w:tc>
          <w:tcPr>
            <w:tcW w:w="1200" w:type="dxa"/>
            <w:tcBorders>
              <w:top w:val="nil"/>
              <w:left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168</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174</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183</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180</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190</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193</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auto" w:fill="auto"/>
            <w:noWrap/>
            <w:vAlign w:val="center"/>
            <w:hideMark/>
          </w:tcPr>
          <w:p w:rsidR="008E583B" w:rsidRPr="00BF0DF2" w:rsidRDefault="008E583B" w:rsidP="002F26E1">
            <w:pPr>
              <w:spacing w:line="240" w:lineRule="auto"/>
              <w:rPr>
                <w:sz w:val="20"/>
                <w:szCs w:val="20"/>
              </w:rPr>
            </w:pPr>
            <w:r>
              <w:rPr>
                <w:rFonts w:cs="Arabic Transparent" w:hint="cs"/>
                <w:sz w:val="20"/>
                <w:szCs w:val="20"/>
                <w:rtl/>
                <w:lang w:bidi="ar-DZ"/>
              </w:rPr>
              <w:t xml:space="preserve">   </w:t>
            </w:r>
            <w:r w:rsidRPr="00BF0DF2">
              <w:rPr>
                <w:rFonts w:cs="Arabic Transparent"/>
                <w:sz w:val="20"/>
                <w:szCs w:val="20"/>
                <w:lang w:bidi="ar-DZ"/>
              </w:rPr>
              <w:t>Taux Brut de Mortalité (en ‰)</w:t>
            </w:r>
          </w:p>
        </w:tc>
        <w:tc>
          <w:tcPr>
            <w:tcW w:w="1200" w:type="dxa"/>
            <w:tcBorders>
              <w:top w:val="nil"/>
              <w:left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4,39</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4,44</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4,57</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4,42</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4,55</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4,53</w:t>
            </w:r>
          </w:p>
        </w:tc>
      </w:tr>
      <w:tr w:rsidR="008E583B" w:rsidRPr="008E0A90" w:rsidTr="008E583B">
        <w:trPr>
          <w:trHeight w:hRule="exact" w:val="284"/>
        </w:trPr>
        <w:tc>
          <w:tcPr>
            <w:tcW w:w="10026" w:type="dxa"/>
            <w:gridSpan w:val="7"/>
            <w:tcBorders>
              <w:top w:val="single" w:sz="8" w:space="0" w:color="auto"/>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Mortalité infantile et infanto-juvénile</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auto" w:fill="auto"/>
            <w:noWrap/>
            <w:vAlign w:val="center"/>
            <w:hideMark/>
          </w:tcPr>
          <w:p w:rsidR="008E583B" w:rsidRPr="00BF0DF2" w:rsidRDefault="008E583B" w:rsidP="002F26E1">
            <w:pPr>
              <w:spacing w:line="240" w:lineRule="auto"/>
              <w:rPr>
                <w:rFonts w:cs="Arabic Transparent"/>
                <w:sz w:val="20"/>
                <w:szCs w:val="21"/>
                <w:lang w:bidi="ar-DZ"/>
              </w:rPr>
            </w:pPr>
            <w:r>
              <w:rPr>
                <w:rFonts w:cs="Arabic Transparent" w:hint="cs"/>
                <w:sz w:val="20"/>
                <w:szCs w:val="21"/>
                <w:rtl/>
                <w:lang w:bidi="ar-DZ"/>
              </w:rPr>
              <w:t xml:space="preserve">   </w:t>
            </w:r>
            <w:r w:rsidRPr="00BF0DF2">
              <w:rPr>
                <w:rFonts w:cs="Arabic Transparent"/>
                <w:sz w:val="20"/>
                <w:szCs w:val="21"/>
                <w:lang w:bidi="ar-DZ"/>
              </w:rPr>
              <w:t>Nombre de Décès Infantiles</w:t>
            </w:r>
          </w:p>
        </w:tc>
        <w:tc>
          <w:tcPr>
            <w:tcW w:w="120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21 586</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22 282</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23 150</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22 271</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22 240</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21 846</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BF0DF2" w:rsidRDefault="008E583B" w:rsidP="002F26E1">
            <w:pPr>
              <w:spacing w:line="240" w:lineRule="auto"/>
              <w:rPr>
                <w:rFonts w:cs="Arabic Transparent"/>
                <w:sz w:val="20"/>
                <w:szCs w:val="21"/>
                <w:lang w:bidi="ar-DZ"/>
              </w:rPr>
            </w:pPr>
            <w:r>
              <w:rPr>
                <w:rFonts w:cs="Arabic Transparent" w:hint="cs"/>
                <w:sz w:val="20"/>
                <w:szCs w:val="21"/>
                <w:rtl/>
                <w:lang w:bidi="ar-DZ"/>
              </w:rPr>
              <w:t xml:space="preserve">   </w:t>
            </w:r>
            <w:r w:rsidRPr="00BF0DF2">
              <w:rPr>
                <w:rFonts w:cs="Arabic Transparent"/>
                <w:sz w:val="20"/>
                <w:szCs w:val="21"/>
                <w:lang w:bidi="ar-DZ"/>
              </w:rPr>
              <w:t>Taux de Mortalité Infantile Ensemble (en ‰)</w:t>
            </w:r>
          </w:p>
        </w:tc>
        <w:tc>
          <w:tcPr>
            <w:tcW w:w="120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22,4</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22</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22,3</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20,9</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21</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21</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auto" w:fill="auto"/>
            <w:noWrap/>
            <w:vAlign w:val="center"/>
            <w:hideMark/>
          </w:tcPr>
          <w:p w:rsidR="008E583B" w:rsidRPr="00BF0DF2" w:rsidRDefault="008E583B" w:rsidP="002F26E1">
            <w:pPr>
              <w:spacing w:line="240" w:lineRule="auto"/>
              <w:rPr>
                <w:rFonts w:cs="Arabic Transparent"/>
                <w:sz w:val="20"/>
                <w:szCs w:val="21"/>
                <w:lang w:bidi="ar-DZ"/>
              </w:rPr>
            </w:pPr>
            <w:r>
              <w:rPr>
                <w:rFonts w:cs="Arabic Transparent" w:hint="cs"/>
                <w:sz w:val="20"/>
                <w:szCs w:val="21"/>
                <w:rtl/>
                <w:lang w:bidi="ar-DZ"/>
              </w:rPr>
              <w:t xml:space="preserve">   </w:t>
            </w:r>
            <w:r w:rsidRPr="00BF0DF2">
              <w:rPr>
                <w:rFonts w:cs="Arabic Transparent"/>
                <w:sz w:val="20"/>
                <w:szCs w:val="21"/>
                <w:lang w:bidi="ar-DZ"/>
              </w:rPr>
              <w:t xml:space="preserve">Taux de Mortalité Infantile Masculin (en </w:t>
            </w:r>
            <w:r w:rsidRPr="00BF0DF2">
              <w:rPr>
                <w:rFonts w:cs="Arabic Transparent"/>
                <w:sz w:val="20"/>
                <w:szCs w:val="21"/>
                <w:rtl/>
                <w:lang w:bidi="ar-DZ"/>
              </w:rPr>
              <w:t>‰</w:t>
            </w:r>
            <w:r w:rsidRPr="00BF0DF2">
              <w:rPr>
                <w:rFonts w:cs="Arabic Transparent"/>
                <w:sz w:val="20"/>
                <w:szCs w:val="21"/>
                <w:lang w:bidi="ar-DZ"/>
              </w:rPr>
              <w:t>)</w:t>
            </w:r>
          </w:p>
        </w:tc>
        <w:tc>
          <w:tcPr>
            <w:tcW w:w="120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23,6</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23,5</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23,7</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22,4</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22,6</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22,5</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BF0DF2" w:rsidRDefault="008E583B" w:rsidP="002F26E1">
            <w:pPr>
              <w:spacing w:line="240" w:lineRule="auto"/>
              <w:rPr>
                <w:rFonts w:cs="Arabic Transparent"/>
                <w:sz w:val="20"/>
                <w:szCs w:val="21"/>
                <w:lang w:bidi="ar-DZ"/>
              </w:rPr>
            </w:pPr>
            <w:r>
              <w:rPr>
                <w:rFonts w:cs="Arabic Transparent" w:hint="cs"/>
                <w:sz w:val="20"/>
                <w:szCs w:val="21"/>
                <w:rtl/>
                <w:lang w:bidi="ar-DZ"/>
              </w:rPr>
              <w:t xml:space="preserve">  </w:t>
            </w:r>
            <w:r w:rsidRPr="00BF0DF2">
              <w:rPr>
                <w:rFonts w:cs="Arabic Transparent"/>
                <w:sz w:val="20"/>
                <w:szCs w:val="21"/>
                <w:lang w:bidi="ar-DZ"/>
              </w:rPr>
              <w:t xml:space="preserve"> Taux de Mortalité Infantile Féminin (en </w:t>
            </w:r>
            <w:r w:rsidRPr="00BF0DF2">
              <w:rPr>
                <w:rFonts w:cs="Arabic Transparent"/>
                <w:sz w:val="20"/>
                <w:szCs w:val="21"/>
                <w:rtl/>
                <w:lang w:bidi="ar-DZ"/>
              </w:rPr>
              <w:t>‰</w:t>
            </w:r>
            <w:r w:rsidRPr="00BF0DF2">
              <w:rPr>
                <w:rFonts w:cs="Arabic Transparent"/>
                <w:sz w:val="20"/>
                <w:szCs w:val="21"/>
                <w:lang w:bidi="ar-DZ"/>
              </w:rPr>
              <w:t>)</w:t>
            </w:r>
          </w:p>
        </w:tc>
        <w:tc>
          <w:tcPr>
            <w:tcW w:w="120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21,2</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20,4</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20,7</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19,3</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19,3</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19,5</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BF0DF2" w:rsidRDefault="008E583B" w:rsidP="002F26E1">
            <w:pPr>
              <w:spacing w:line="240" w:lineRule="auto"/>
              <w:rPr>
                <w:rFonts w:cs="Arabic Transparent"/>
                <w:sz w:val="20"/>
                <w:szCs w:val="21"/>
                <w:lang w:bidi="ar-DZ"/>
              </w:rPr>
            </w:pPr>
            <w:r>
              <w:rPr>
                <w:rFonts w:cs="Arabic Transparent" w:hint="cs"/>
                <w:sz w:val="20"/>
                <w:szCs w:val="21"/>
                <w:rtl/>
                <w:lang w:bidi="ar-DZ"/>
              </w:rPr>
              <w:t xml:space="preserve">   </w:t>
            </w:r>
            <w:r w:rsidRPr="00BF0DF2">
              <w:rPr>
                <w:rFonts w:cs="Arabic Transparent"/>
                <w:sz w:val="20"/>
                <w:szCs w:val="21"/>
                <w:lang w:bidi="ar-DZ"/>
              </w:rPr>
              <w:t xml:space="preserve">Quotient de mortalité infanto-juvénile Ensemble (en </w:t>
            </w:r>
            <w:r w:rsidRPr="00BF0DF2">
              <w:rPr>
                <w:rFonts w:cs="Arabic Transparent"/>
                <w:sz w:val="20"/>
                <w:szCs w:val="21"/>
                <w:rtl/>
                <w:lang w:bidi="ar-DZ"/>
              </w:rPr>
              <w:t>‰</w:t>
            </w:r>
            <w:r w:rsidRPr="00BF0DF2">
              <w:rPr>
                <w:rFonts w:cs="Arabic Transparent"/>
                <w:sz w:val="20"/>
                <w:szCs w:val="21"/>
                <w:lang w:bidi="ar-DZ"/>
              </w:rPr>
              <w:t>)</w:t>
            </w:r>
          </w:p>
        </w:tc>
        <w:tc>
          <w:tcPr>
            <w:tcW w:w="120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26,1</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25,6</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25,7</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24</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24</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24,2</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BF0DF2" w:rsidRDefault="008E583B" w:rsidP="002F26E1">
            <w:pPr>
              <w:spacing w:line="240" w:lineRule="auto"/>
              <w:rPr>
                <w:rFonts w:cs="Arabic Transparent"/>
                <w:sz w:val="20"/>
                <w:szCs w:val="21"/>
                <w:lang w:bidi="ar-DZ"/>
              </w:rPr>
            </w:pPr>
            <w:r>
              <w:rPr>
                <w:rFonts w:cs="Arabic Transparent" w:hint="cs"/>
                <w:sz w:val="20"/>
                <w:szCs w:val="21"/>
                <w:rtl/>
                <w:lang w:bidi="ar-DZ"/>
              </w:rPr>
              <w:t xml:space="preserve">   </w:t>
            </w:r>
            <w:r w:rsidRPr="00BF0DF2">
              <w:rPr>
                <w:rFonts w:cs="Arabic Transparent"/>
                <w:sz w:val="20"/>
                <w:szCs w:val="21"/>
                <w:lang w:bidi="ar-DZ"/>
              </w:rPr>
              <w:t>Quotient de mortalité infanto-juvénile Masculin (en ‰)</w:t>
            </w:r>
          </w:p>
        </w:tc>
        <w:tc>
          <w:tcPr>
            <w:tcW w:w="120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27,3</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27,1</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27,1</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25,6</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25,6</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25,7</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auto" w:fill="auto"/>
            <w:noWrap/>
            <w:vAlign w:val="center"/>
            <w:hideMark/>
          </w:tcPr>
          <w:p w:rsidR="008E583B" w:rsidRPr="00BF0DF2" w:rsidRDefault="008E583B" w:rsidP="002F26E1">
            <w:pPr>
              <w:spacing w:line="240" w:lineRule="auto"/>
              <w:rPr>
                <w:rFonts w:cs="Arabic Transparent"/>
                <w:sz w:val="20"/>
                <w:szCs w:val="21"/>
                <w:lang w:bidi="ar-DZ"/>
              </w:rPr>
            </w:pPr>
            <w:r>
              <w:rPr>
                <w:rFonts w:cs="Arabic Transparent" w:hint="cs"/>
                <w:sz w:val="20"/>
                <w:szCs w:val="21"/>
                <w:rtl/>
                <w:lang w:bidi="ar-DZ"/>
              </w:rPr>
              <w:t xml:space="preserve">   </w:t>
            </w:r>
            <w:r w:rsidRPr="00BF0DF2">
              <w:rPr>
                <w:rFonts w:cs="Arabic Transparent"/>
                <w:sz w:val="20"/>
                <w:szCs w:val="21"/>
                <w:lang w:bidi="ar-DZ"/>
              </w:rPr>
              <w:t>Quotient de mortalité infanto-juvénile Féminin (en ‰)</w:t>
            </w:r>
          </w:p>
        </w:tc>
        <w:tc>
          <w:tcPr>
            <w:tcW w:w="120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24,9</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23 ,9</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24,2</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22,3</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22,2</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22,6</w:t>
            </w:r>
          </w:p>
        </w:tc>
      </w:tr>
      <w:tr w:rsidR="008E583B" w:rsidRPr="008E0A90" w:rsidTr="008E583B">
        <w:trPr>
          <w:trHeight w:hRule="exact" w:val="284"/>
        </w:trPr>
        <w:tc>
          <w:tcPr>
            <w:tcW w:w="10026" w:type="dxa"/>
            <w:gridSpan w:val="7"/>
            <w:tcBorders>
              <w:top w:val="single" w:sz="8" w:space="0" w:color="auto"/>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Mortinatalité</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BF0DF2" w:rsidRDefault="008E583B" w:rsidP="002F26E1">
            <w:pPr>
              <w:spacing w:line="240" w:lineRule="auto"/>
              <w:rPr>
                <w:rFonts w:cs="Arabic Transparent"/>
                <w:sz w:val="20"/>
                <w:szCs w:val="21"/>
                <w:lang w:bidi="ar-DZ"/>
              </w:rPr>
            </w:pPr>
            <w:r>
              <w:rPr>
                <w:rFonts w:cs="Arabic Transparent" w:hint="cs"/>
                <w:sz w:val="20"/>
                <w:szCs w:val="21"/>
                <w:rtl/>
                <w:lang w:bidi="ar-DZ"/>
              </w:rPr>
              <w:t xml:space="preserve">   </w:t>
            </w:r>
            <w:r w:rsidRPr="00BF0DF2">
              <w:rPr>
                <w:rFonts w:cs="Arabic Transparent"/>
                <w:sz w:val="20"/>
                <w:szCs w:val="21"/>
                <w:lang w:bidi="ar-DZ"/>
              </w:rPr>
              <w:t>Nombre de Mort-nés</w:t>
            </w:r>
          </w:p>
        </w:tc>
        <w:tc>
          <w:tcPr>
            <w:tcW w:w="120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15 009</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15 077</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14 620</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14 236</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13 412</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12 712</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BF0DF2" w:rsidRDefault="008E583B" w:rsidP="002F26E1">
            <w:pPr>
              <w:spacing w:line="240" w:lineRule="auto"/>
              <w:rPr>
                <w:rFonts w:cs="Arabic Transparent"/>
                <w:sz w:val="20"/>
                <w:szCs w:val="21"/>
                <w:lang w:bidi="ar-DZ"/>
              </w:rPr>
            </w:pPr>
            <w:r>
              <w:rPr>
                <w:rFonts w:cs="Arabic Transparent" w:hint="cs"/>
                <w:sz w:val="20"/>
                <w:szCs w:val="21"/>
                <w:rtl/>
                <w:lang w:bidi="ar-DZ"/>
              </w:rPr>
              <w:t xml:space="preserve">   </w:t>
            </w:r>
            <w:r w:rsidRPr="00BF0DF2">
              <w:rPr>
                <w:rFonts w:cs="Arabic Transparent"/>
                <w:sz w:val="20"/>
                <w:szCs w:val="21"/>
                <w:lang w:bidi="ar-DZ"/>
              </w:rPr>
              <w:t>Taux de mortinatalité Ensemble(en ‰)</w:t>
            </w:r>
          </w:p>
        </w:tc>
        <w:tc>
          <w:tcPr>
            <w:tcW w:w="120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15,4</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14,6</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13,9</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13,2</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12,5</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12,1</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BF0DF2" w:rsidRDefault="008E583B" w:rsidP="002F26E1">
            <w:pPr>
              <w:spacing w:line="240" w:lineRule="auto"/>
              <w:rPr>
                <w:rFonts w:cs="Arabic Transparent"/>
                <w:sz w:val="20"/>
                <w:szCs w:val="21"/>
                <w:lang w:bidi="ar-DZ"/>
              </w:rPr>
            </w:pPr>
            <w:r>
              <w:rPr>
                <w:rFonts w:cs="Arabic Transparent" w:hint="cs"/>
                <w:sz w:val="20"/>
                <w:szCs w:val="21"/>
                <w:rtl/>
                <w:lang w:bidi="ar-DZ"/>
              </w:rPr>
              <w:t xml:space="preserve">   </w:t>
            </w:r>
            <w:r w:rsidRPr="00BF0DF2">
              <w:rPr>
                <w:rFonts w:cs="Arabic Transparent"/>
                <w:sz w:val="20"/>
                <w:szCs w:val="21"/>
                <w:lang w:bidi="ar-DZ"/>
              </w:rPr>
              <w:t>Taux de mortinatalité masculin (en ‰)</w:t>
            </w:r>
          </w:p>
        </w:tc>
        <w:tc>
          <w:tcPr>
            <w:tcW w:w="120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16,4</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15,8</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14,8</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14,1</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13,5</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13,1</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auto" w:fill="auto"/>
            <w:noWrap/>
            <w:vAlign w:val="center"/>
            <w:hideMark/>
          </w:tcPr>
          <w:p w:rsidR="008E583B" w:rsidRPr="00BF0DF2" w:rsidRDefault="008E583B" w:rsidP="002F26E1">
            <w:pPr>
              <w:spacing w:line="240" w:lineRule="auto"/>
              <w:rPr>
                <w:rFonts w:cs="Arabic Transparent"/>
                <w:sz w:val="20"/>
                <w:szCs w:val="21"/>
                <w:lang w:bidi="ar-DZ"/>
              </w:rPr>
            </w:pPr>
            <w:r>
              <w:rPr>
                <w:rFonts w:cs="Arabic Transparent" w:hint="cs"/>
                <w:sz w:val="20"/>
                <w:szCs w:val="21"/>
                <w:rtl/>
                <w:lang w:bidi="ar-DZ"/>
              </w:rPr>
              <w:t xml:space="preserve">   </w:t>
            </w:r>
            <w:r w:rsidRPr="00BF0DF2">
              <w:rPr>
                <w:rFonts w:cs="Arabic Transparent"/>
                <w:sz w:val="20"/>
                <w:szCs w:val="21"/>
                <w:lang w:bidi="ar-DZ"/>
              </w:rPr>
              <w:t>Taux de mortinatalité Féminin (en ‰)</w:t>
            </w:r>
          </w:p>
        </w:tc>
        <w:tc>
          <w:tcPr>
            <w:tcW w:w="120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14,2</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13,5</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12,9</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12,2</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11,5</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11,1</w:t>
            </w:r>
          </w:p>
        </w:tc>
      </w:tr>
      <w:tr w:rsidR="008E583B" w:rsidRPr="008E0A90" w:rsidTr="008E583B">
        <w:trPr>
          <w:trHeight w:hRule="exact" w:val="284"/>
        </w:trPr>
        <w:tc>
          <w:tcPr>
            <w:tcW w:w="10026" w:type="dxa"/>
            <w:gridSpan w:val="7"/>
            <w:tcBorders>
              <w:top w:val="single" w:sz="8" w:space="0" w:color="auto"/>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Esperance de vie (En</w:t>
            </w:r>
            <w:r w:rsidRPr="00926C90">
              <w:rPr>
                <w:rFonts w:eastAsia="Times New Roman"/>
                <w:b/>
                <w:bCs/>
                <w:color w:val="000000"/>
                <w:sz w:val="18"/>
                <w:szCs w:val="18"/>
                <w:lang w:eastAsia="fr-FR"/>
              </w:rPr>
              <w:t xml:space="preserve"> </w:t>
            </w:r>
            <w:r w:rsidRPr="00926C90">
              <w:rPr>
                <w:rFonts w:eastAsia="Times New Roman" w:cs="Times New Roman"/>
                <w:b/>
                <w:bCs/>
                <w:color w:val="000000"/>
                <w:sz w:val="18"/>
                <w:szCs w:val="18"/>
                <w:lang w:eastAsia="fr-FR"/>
              </w:rPr>
              <w:t>années)</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BF0DF2" w:rsidRDefault="008E583B" w:rsidP="002F26E1">
            <w:pPr>
              <w:spacing w:line="240" w:lineRule="auto"/>
              <w:rPr>
                <w:rFonts w:cs="Arabic Transparent"/>
                <w:sz w:val="20"/>
                <w:szCs w:val="21"/>
                <w:lang w:bidi="ar-DZ"/>
              </w:rPr>
            </w:pPr>
            <w:r>
              <w:rPr>
                <w:rFonts w:cs="Arabic Transparent" w:hint="cs"/>
                <w:sz w:val="20"/>
                <w:szCs w:val="21"/>
                <w:rtl/>
                <w:lang w:bidi="ar-DZ"/>
              </w:rPr>
              <w:t xml:space="preserve">  </w:t>
            </w:r>
            <w:r w:rsidRPr="00BF0DF2">
              <w:rPr>
                <w:rFonts w:cs="Arabic Transparent"/>
                <w:sz w:val="20"/>
                <w:szCs w:val="21"/>
                <w:lang w:bidi="ar-DZ"/>
              </w:rPr>
              <w:t xml:space="preserve"> Esperance de vie </w:t>
            </w:r>
            <w:r>
              <w:rPr>
                <w:rFonts w:cs="Arabic Transparent"/>
                <w:sz w:val="20"/>
                <w:szCs w:val="21"/>
                <w:lang w:bidi="ar-DZ"/>
              </w:rPr>
              <w:t xml:space="preserve">à la naissance Ensemble </w:t>
            </w:r>
          </w:p>
        </w:tc>
        <w:tc>
          <w:tcPr>
            <w:tcW w:w="120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77</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77,2</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77,1</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77,6</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77,6</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77,7</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BF0DF2" w:rsidRDefault="008E583B" w:rsidP="002F26E1">
            <w:pPr>
              <w:spacing w:line="240" w:lineRule="auto"/>
              <w:ind w:firstLine="185"/>
              <w:rPr>
                <w:rFonts w:cs="Arabic Transparent"/>
                <w:sz w:val="20"/>
                <w:szCs w:val="21"/>
                <w:lang w:bidi="ar-DZ"/>
              </w:rPr>
            </w:pPr>
            <w:r w:rsidRPr="00BF0DF2">
              <w:rPr>
                <w:rFonts w:cs="Arabic Transparent"/>
                <w:sz w:val="20"/>
                <w:szCs w:val="21"/>
                <w:lang w:bidi="ar-DZ"/>
              </w:rPr>
              <w:t>Esperance de vi</w:t>
            </w:r>
            <w:r>
              <w:rPr>
                <w:rFonts w:cs="Arabic Transparent"/>
                <w:sz w:val="20"/>
                <w:szCs w:val="21"/>
                <w:lang w:bidi="ar-DZ"/>
              </w:rPr>
              <w:t xml:space="preserve">e à la naissance Hommes </w:t>
            </w:r>
          </w:p>
        </w:tc>
        <w:tc>
          <w:tcPr>
            <w:tcW w:w="120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76,5</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76,6</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76,4</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77,1</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76,9</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77,1</w:t>
            </w:r>
          </w:p>
        </w:tc>
      </w:tr>
      <w:tr w:rsidR="008E583B" w:rsidRPr="008E0A90" w:rsidTr="008E0A90">
        <w:trPr>
          <w:trHeight w:hRule="exact" w:val="284"/>
        </w:trPr>
        <w:tc>
          <w:tcPr>
            <w:tcW w:w="3906" w:type="dxa"/>
            <w:tcBorders>
              <w:top w:val="nil"/>
              <w:left w:val="single" w:sz="12" w:space="0" w:color="auto"/>
              <w:bottom w:val="single" w:sz="8" w:space="0" w:color="auto"/>
              <w:right w:val="single" w:sz="8" w:space="0" w:color="auto"/>
            </w:tcBorders>
            <w:shd w:val="clear" w:color="000000" w:fill="FFFFFF"/>
            <w:noWrap/>
            <w:vAlign w:val="center"/>
            <w:hideMark/>
          </w:tcPr>
          <w:p w:rsidR="008E583B" w:rsidRPr="00BF0DF2" w:rsidRDefault="008E583B" w:rsidP="002F26E1">
            <w:pPr>
              <w:spacing w:line="240" w:lineRule="auto"/>
              <w:ind w:firstLine="185"/>
              <w:rPr>
                <w:rFonts w:cs="Arabic Transparent"/>
                <w:sz w:val="20"/>
                <w:szCs w:val="21"/>
                <w:lang w:bidi="ar-DZ"/>
              </w:rPr>
            </w:pPr>
            <w:r w:rsidRPr="00BF0DF2">
              <w:rPr>
                <w:rFonts w:cs="Arabic Transparent"/>
                <w:sz w:val="20"/>
                <w:szCs w:val="21"/>
                <w:lang w:bidi="ar-DZ"/>
              </w:rPr>
              <w:t>Esperance de vi</w:t>
            </w:r>
            <w:r>
              <w:rPr>
                <w:rFonts w:cs="Arabic Transparent"/>
                <w:sz w:val="20"/>
                <w:szCs w:val="21"/>
                <w:lang w:bidi="ar-DZ"/>
              </w:rPr>
              <w:t xml:space="preserve">e à la naissance Femmes </w:t>
            </w:r>
          </w:p>
        </w:tc>
        <w:tc>
          <w:tcPr>
            <w:tcW w:w="120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77,6</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77,8</w:t>
            </w:r>
          </w:p>
        </w:tc>
        <w:tc>
          <w:tcPr>
            <w:tcW w:w="96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77,8</w:t>
            </w:r>
          </w:p>
        </w:tc>
        <w:tc>
          <w:tcPr>
            <w:tcW w:w="84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78,2</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000000"/>
                <w:sz w:val="18"/>
                <w:szCs w:val="18"/>
                <w:lang w:eastAsia="fr-FR"/>
              </w:rPr>
            </w:pPr>
            <w:r w:rsidRPr="00926C90">
              <w:rPr>
                <w:rFonts w:eastAsia="Times New Roman" w:cs="Times New Roman"/>
                <w:color w:val="000000"/>
                <w:sz w:val="18"/>
                <w:szCs w:val="18"/>
                <w:lang w:eastAsia="fr-FR"/>
              </w:rPr>
              <w:t>78,2</w:t>
            </w:r>
          </w:p>
        </w:tc>
        <w:tc>
          <w:tcPr>
            <w:tcW w:w="1080" w:type="dxa"/>
            <w:tcBorders>
              <w:top w:val="nil"/>
              <w:left w:val="single" w:sz="8" w:space="0" w:color="auto"/>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color w:val="000000"/>
                <w:sz w:val="18"/>
                <w:szCs w:val="18"/>
                <w:lang w:eastAsia="fr-FR"/>
              </w:rPr>
            </w:pPr>
            <w:r w:rsidRPr="00926C90">
              <w:rPr>
                <w:rFonts w:eastAsia="Times New Roman" w:cs="Times New Roman"/>
                <w:b/>
                <w:bCs/>
                <w:color w:val="000000"/>
                <w:sz w:val="18"/>
                <w:szCs w:val="18"/>
                <w:lang w:eastAsia="fr-FR"/>
              </w:rPr>
              <w:t>78,4</w:t>
            </w:r>
          </w:p>
        </w:tc>
      </w:tr>
    </w:tbl>
    <w:p w:rsidR="008E583B" w:rsidRDefault="008E583B" w:rsidP="008E583B">
      <w:pPr>
        <w:jc w:val="both"/>
        <w:rPr>
          <w:sz w:val="20"/>
          <w:szCs w:val="20"/>
        </w:rPr>
      </w:pPr>
      <w:r w:rsidRPr="00284029">
        <w:rPr>
          <w:sz w:val="20"/>
          <w:szCs w:val="20"/>
        </w:rPr>
        <w:t>Source : Office National des Statistiques (ONS).</w:t>
      </w:r>
    </w:p>
    <w:p w:rsidR="008E583B" w:rsidRDefault="008E583B" w:rsidP="008E583B">
      <w:pPr>
        <w:jc w:val="both"/>
        <w:rPr>
          <w:sz w:val="20"/>
          <w:szCs w:val="20"/>
        </w:rPr>
      </w:pPr>
    </w:p>
    <w:p w:rsidR="008E583B" w:rsidRDefault="008E583B" w:rsidP="008E583B">
      <w:pPr>
        <w:jc w:val="both"/>
        <w:rPr>
          <w:sz w:val="20"/>
          <w:szCs w:val="20"/>
        </w:rPr>
      </w:pPr>
    </w:p>
    <w:p w:rsidR="008E583B" w:rsidRDefault="008E583B" w:rsidP="008E583B">
      <w:pPr>
        <w:jc w:val="both"/>
        <w:rPr>
          <w:sz w:val="20"/>
          <w:szCs w:val="20"/>
        </w:rPr>
      </w:pPr>
    </w:p>
    <w:p w:rsidR="008E583B" w:rsidRDefault="008E583B" w:rsidP="008E583B">
      <w:pPr>
        <w:spacing w:after="0" w:line="240" w:lineRule="auto"/>
        <w:jc w:val="center"/>
        <w:rPr>
          <w:b/>
          <w:bCs/>
        </w:rPr>
      </w:pPr>
      <w:r w:rsidRPr="005B51C2">
        <w:rPr>
          <w:b/>
          <w:bCs/>
        </w:rPr>
        <w:lastRenderedPageBreak/>
        <w:t>Tab N°</w:t>
      </w:r>
      <w:r>
        <w:rPr>
          <w:b/>
          <w:bCs/>
        </w:rPr>
        <w:t>8</w:t>
      </w:r>
      <w:r w:rsidRPr="005B51C2">
        <w:rPr>
          <w:b/>
          <w:bCs/>
        </w:rPr>
        <w:t xml:space="preserve">- principaux agrégats et indicateurs du marché du travail </w:t>
      </w:r>
      <w:r>
        <w:rPr>
          <w:b/>
          <w:bCs/>
        </w:rPr>
        <w:t>(</w:t>
      </w:r>
      <w:r w:rsidRPr="005B51C2">
        <w:rPr>
          <w:b/>
          <w:bCs/>
        </w:rPr>
        <w:t>En milliers)</w:t>
      </w:r>
    </w:p>
    <w:p w:rsidR="008E583B" w:rsidRDefault="008E583B" w:rsidP="008E583B">
      <w:pPr>
        <w:spacing w:after="0" w:line="240" w:lineRule="auto"/>
        <w:jc w:val="center"/>
        <w:rPr>
          <w:b/>
          <w:bCs/>
        </w:rPr>
      </w:pPr>
    </w:p>
    <w:tbl>
      <w:tblPr>
        <w:tblW w:w="9587" w:type="dxa"/>
        <w:tblInd w:w="70" w:type="dxa"/>
        <w:tblLayout w:type="fixed"/>
        <w:tblCellMar>
          <w:left w:w="70" w:type="dxa"/>
          <w:right w:w="70" w:type="dxa"/>
        </w:tblCellMar>
        <w:tblLook w:val="04A0" w:firstRow="1" w:lastRow="0" w:firstColumn="1" w:lastColumn="0" w:noHBand="0" w:noVBand="1"/>
      </w:tblPr>
      <w:tblGrid>
        <w:gridCol w:w="3336"/>
        <w:gridCol w:w="864"/>
        <w:gridCol w:w="720"/>
        <w:gridCol w:w="840"/>
        <w:gridCol w:w="992"/>
        <w:gridCol w:w="993"/>
        <w:gridCol w:w="850"/>
        <w:gridCol w:w="482"/>
        <w:gridCol w:w="510"/>
      </w:tblGrid>
      <w:tr w:rsidR="008E583B" w:rsidRPr="008E0A90" w:rsidTr="008E583B">
        <w:trPr>
          <w:trHeight w:hRule="exact" w:val="284"/>
        </w:trPr>
        <w:tc>
          <w:tcPr>
            <w:tcW w:w="3336" w:type="dxa"/>
            <w:tcBorders>
              <w:top w:val="single" w:sz="8" w:space="0" w:color="4F81BD"/>
              <w:left w:val="nil"/>
              <w:bottom w:val="single" w:sz="8" w:space="0" w:color="auto"/>
              <w:right w:val="nil"/>
            </w:tcBorders>
            <w:shd w:val="clear" w:color="auto" w:fill="auto"/>
            <w:noWrap/>
            <w:hideMark/>
          </w:tcPr>
          <w:p w:rsidR="008E583B" w:rsidRPr="00926C90" w:rsidRDefault="008E583B" w:rsidP="002F26E1">
            <w:pPr>
              <w:spacing w:after="0" w:line="240" w:lineRule="auto"/>
              <w:rPr>
                <w:rFonts w:eastAsia="Times New Roman"/>
                <w:b/>
                <w:bCs/>
                <w:i/>
                <w:iCs/>
                <w:sz w:val="18"/>
                <w:szCs w:val="18"/>
                <w:lang w:eastAsia="fr-FR"/>
              </w:rPr>
            </w:pPr>
            <w:r w:rsidRPr="00926C90">
              <w:rPr>
                <w:rFonts w:eastAsia="Times New Roman"/>
                <w:b/>
                <w:bCs/>
                <w:i/>
                <w:iCs/>
                <w:sz w:val="18"/>
                <w:szCs w:val="18"/>
                <w:lang w:eastAsia="fr-FR"/>
              </w:rPr>
              <w:t> Année</w:t>
            </w:r>
          </w:p>
        </w:tc>
        <w:tc>
          <w:tcPr>
            <w:tcW w:w="864" w:type="dxa"/>
            <w:tcBorders>
              <w:top w:val="single" w:sz="8" w:space="0" w:color="4F81BD"/>
              <w:left w:val="nil"/>
              <w:bottom w:val="single" w:sz="8" w:space="0" w:color="auto"/>
              <w:right w:val="nil"/>
            </w:tcBorders>
            <w:shd w:val="clear" w:color="auto" w:fill="auto"/>
            <w:noWrap/>
            <w:hideMark/>
          </w:tcPr>
          <w:p w:rsidR="008E583B" w:rsidRPr="00926C90" w:rsidRDefault="008E583B" w:rsidP="002F26E1">
            <w:pPr>
              <w:spacing w:after="0" w:line="240" w:lineRule="auto"/>
              <w:jc w:val="center"/>
              <w:rPr>
                <w:rFonts w:eastAsia="Times New Roman" w:cs="Tahoma"/>
                <w:b/>
                <w:bCs/>
                <w:sz w:val="18"/>
                <w:szCs w:val="18"/>
                <w:lang w:eastAsia="fr-FR"/>
              </w:rPr>
            </w:pPr>
            <w:r w:rsidRPr="00926C90">
              <w:rPr>
                <w:rFonts w:eastAsia="Times New Roman" w:cs="Tahoma"/>
                <w:b/>
                <w:bCs/>
                <w:sz w:val="18"/>
                <w:szCs w:val="18"/>
                <w:lang w:eastAsia="fr-FR"/>
              </w:rPr>
              <w:t>2013</w:t>
            </w:r>
          </w:p>
        </w:tc>
        <w:tc>
          <w:tcPr>
            <w:tcW w:w="720" w:type="dxa"/>
            <w:tcBorders>
              <w:top w:val="single" w:sz="8" w:space="0" w:color="4F81BD"/>
              <w:left w:val="nil"/>
              <w:bottom w:val="single" w:sz="8" w:space="0" w:color="auto"/>
              <w:right w:val="nil"/>
            </w:tcBorders>
            <w:shd w:val="clear" w:color="auto" w:fill="auto"/>
            <w:noWrap/>
            <w:hideMark/>
          </w:tcPr>
          <w:p w:rsidR="008E583B" w:rsidRPr="00926C90" w:rsidRDefault="008E583B" w:rsidP="002F26E1">
            <w:pPr>
              <w:spacing w:after="0" w:line="240" w:lineRule="auto"/>
              <w:jc w:val="center"/>
              <w:rPr>
                <w:rFonts w:eastAsia="Times New Roman" w:cs="Tahoma"/>
                <w:b/>
                <w:bCs/>
                <w:sz w:val="18"/>
                <w:szCs w:val="18"/>
                <w:lang w:eastAsia="fr-FR"/>
              </w:rPr>
            </w:pPr>
            <w:r w:rsidRPr="00926C90">
              <w:rPr>
                <w:rFonts w:eastAsia="Times New Roman" w:cs="Tahoma"/>
                <w:b/>
                <w:bCs/>
                <w:sz w:val="18"/>
                <w:szCs w:val="18"/>
                <w:lang w:eastAsia="fr-FR"/>
              </w:rPr>
              <w:t>2014</w:t>
            </w:r>
          </w:p>
        </w:tc>
        <w:tc>
          <w:tcPr>
            <w:tcW w:w="840" w:type="dxa"/>
            <w:tcBorders>
              <w:top w:val="single" w:sz="8" w:space="0" w:color="4F81BD"/>
              <w:left w:val="nil"/>
              <w:bottom w:val="single" w:sz="8" w:space="0" w:color="auto"/>
              <w:right w:val="nil"/>
            </w:tcBorders>
            <w:shd w:val="clear" w:color="auto" w:fill="auto"/>
            <w:hideMark/>
          </w:tcPr>
          <w:p w:rsidR="008E583B" w:rsidRPr="00926C90" w:rsidRDefault="008E583B" w:rsidP="002F26E1">
            <w:pPr>
              <w:spacing w:after="0" w:line="240" w:lineRule="auto"/>
              <w:jc w:val="center"/>
              <w:rPr>
                <w:rFonts w:eastAsia="Times New Roman" w:cs="Tahoma"/>
                <w:b/>
                <w:bCs/>
                <w:sz w:val="18"/>
                <w:szCs w:val="18"/>
                <w:lang w:eastAsia="fr-FR"/>
              </w:rPr>
            </w:pPr>
            <w:r w:rsidRPr="00926C90">
              <w:rPr>
                <w:rFonts w:eastAsia="Times New Roman" w:cs="Tahoma"/>
                <w:b/>
                <w:bCs/>
                <w:sz w:val="18"/>
                <w:szCs w:val="18"/>
                <w:lang w:eastAsia="fr-FR"/>
              </w:rPr>
              <w:t>2015</w:t>
            </w:r>
          </w:p>
        </w:tc>
        <w:tc>
          <w:tcPr>
            <w:tcW w:w="992" w:type="dxa"/>
            <w:tcBorders>
              <w:top w:val="single" w:sz="8" w:space="0" w:color="4F81BD"/>
              <w:left w:val="nil"/>
              <w:bottom w:val="single" w:sz="8" w:space="0" w:color="auto"/>
              <w:right w:val="nil"/>
            </w:tcBorders>
            <w:shd w:val="clear" w:color="auto" w:fill="auto"/>
            <w:noWrap/>
            <w:hideMark/>
          </w:tcPr>
          <w:p w:rsidR="008E583B" w:rsidRPr="00926C90" w:rsidRDefault="008E583B" w:rsidP="002F26E1">
            <w:pPr>
              <w:spacing w:after="0" w:line="240" w:lineRule="auto"/>
              <w:jc w:val="center"/>
              <w:rPr>
                <w:rFonts w:eastAsia="Times New Roman" w:cs="Tahoma"/>
                <w:b/>
                <w:bCs/>
                <w:sz w:val="18"/>
                <w:szCs w:val="18"/>
                <w:lang w:eastAsia="fr-FR"/>
              </w:rPr>
            </w:pPr>
            <w:r w:rsidRPr="00926C90">
              <w:rPr>
                <w:rFonts w:eastAsia="Times New Roman" w:cs="Tahoma"/>
                <w:b/>
                <w:bCs/>
                <w:sz w:val="18"/>
                <w:szCs w:val="18"/>
                <w:lang w:eastAsia="fr-FR"/>
              </w:rPr>
              <w:t>2016</w:t>
            </w:r>
          </w:p>
        </w:tc>
        <w:tc>
          <w:tcPr>
            <w:tcW w:w="993" w:type="dxa"/>
            <w:tcBorders>
              <w:top w:val="single" w:sz="8" w:space="0" w:color="4F81BD"/>
              <w:left w:val="nil"/>
              <w:bottom w:val="single" w:sz="8" w:space="0" w:color="auto"/>
              <w:right w:val="nil"/>
            </w:tcBorders>
            <w:shd w:val="clear" w:color="auto" w:fill="auto"/>
            <w:hideMark/>
          </w:tcPr>
          <w:p w:rsidR="008E583B" w:rsidRPr="00926C90" w:rsidRDefault="008E583B" w:rsidP="002F26E1">
            <w:pPr>
              <w:spacing w:after="0" w:line="240" w:lineRule="auto"/>
              <w:jc w:val="center"/>
              <w:rPr>
                <w:rFonts w:eastAsia="Times New Roman" w:cs="Tahoma"/>
                <w:b/>
                <w:bCs/>
                <w:sz w:val="18"/>
                <w:szCs w:val="18"/>
                <w:lang w:eastAsia="fr-FR"/>
              </w:rPr>
            </w:pPr>
            <w:r w:rsidRPr="00926C90">
              <w:rPr>
                <w:rFonts w:eastAsia="Times New Roman" w:cs="Tahoma"/>
                <w:b/>
                <w:bCs/>
                <w:sz w:val="18"/>
                <w:szCs w:val="18"/>
                <w:lang w:eastAsia="fr-FR"/>
              </w:rPr>
              <w:t>2017</w:t>
            </w:r>
          </w:p>
        </w:tc>
        <w:tc>
          <w:tcPr>
            <w:tcW w:w="850" w:type="dxa"/>
            <w:tcBorders>
              <w:top w:val="single" w:sz="8" w:space="0" w:color="4F81BD"/>
              <w:left w:val="nil"/>
              <w:bottom w:val="single" w:sz="8" w:space="0" w:color="auto"/>
              <w:right w:val="nil"/>
            </w:tcBorders>
            <w:shd w:val="clear" w:color="auto" w:fill="auto"/>
            <w:hideMark/>
          </w:tcPr>
          <w:p w:rsidR="008E583B" w:rsidRPr="00926C90" w:rsidRDefault="008E583B" w:rsidP="002F26E1">
            <w:pPr>
              <w:spacing w:after="0" w:line="240" w:lineRule="auto"/>
              <w:jc w:val="center"/>
              <w:rPr>
                <w:rFonts w:eastAsia="Times New Roman" w:cs="Tahoma"/>
                <w:b/>
                <w:bCs/>
                <w:sz w:val="18"/>
                <w:szCs w:val="18"/>
                <w:lang w:eastAsia="fr-FR"/>
              </w:rPr>
            </w:pPr>
            <w:r w:rsidRPr="00926C90">
              <w:rPr>
                <w:rFonts w:eastAsia="Times New Roman" w:cs="Tahoma"/>
                <w:b/>
                <w:bCs/>
                <w:sz w:val="18"/>
                <w:szCs w:val="18"/>
                <w:lang w:eastAsia="fr-FR"/>
              </w:rPr>
              <w:t>2018</w:t>
            </w:r>
          </w:p>
        </w:tc>
        <w:tc>
          <w:tcPr>
            <w:tcW w:w="992" w:type="dxa"/>
            <w:gridSpan w:val="2"/>
            <w:tcBorders>
              <w:top w:val="single" w:sz="8" w:space="0" w:color="4F81BD"/>
              <w:left w:val="nil"/>
              <w:bottom w:val="single" w:sz="8" w:space="0" w:color="auto"/>
              <w:right w:val="nil"/>
            </w:tcBorders>
            <w:shd w:val="clear" w:color="auto" w:fill="auto"/>
            <w:hideMark/>
          </w:tcPr>
          <w:p w:rsidR="008E583B" w:rsidRPr="00926C90" w:rsidRDefault="008E583B" w:rsidP="002F26E1">
            <w:pPr>
              <w:spacing w:after="0" w:line="240" w:lineRule="auto"/>
              <w:jc w:val="center"/>
              <w:rPr>
                <w:rFonts w:eastAsia="Times New Roman" w:cs="Tahoma"/>
                <w:b/>
                <w:bCs/>
                <w:sz w:val="18"/>
                <w:szCs w:val="18"/>
                <w:lang w:eastAsia="fr-FR"/>
              </w:rPr>
            </w:pPr>
            <w:r w:rsidRPr="00926C90">
              <w:rPr>
                <w:rFonts w:eastAsia="Times New Roman" w:cs="Tahoma"/>
                <w:b/>
                <w:bCs/>
                <w:sz w:val="18"/>
                <w:szCs w:val="18"/>
                <w:lang w:eastAsia="fr-FR"/>
              </w:rPr>
              <w:t>2019</w:t>
            </w:r>
          </w:p>
        </w:tc>
      </w:tr>
      <w:tr w:rsidR="008E583B" w:rsidRPr="008E0A90" w:rsidTr="008E583B">
        <w:trPr>
          <w:trHeight w:hRule="exact" w:val="284"/>
        </w:trPr>
        <w:tc>
          <w:tcPr>
            <w:tcW w:w="3336" w:type="dxa"/>
            <w:tcBorders>
              <w:top w:val="single" w:sz="8" w:space="0" w:color="auto"/>
              <w:left w:val="single" w:sz="8" w:space="0" w:color="auto"/>
              <w:bottom w:val="nil"/>
            </w:tcBorders>
            <w:shd w:val="clear" w:color="000000" w:fill="D3DFEE"/>
            <w:hideMark/>
          </w:tcPr>
          <w:p w:rsidR="008E583B" w:rsidRPr="00926C90" w:rsidRDefault="008E583B" w:rsidP="002F26E1">
            <w:pPr>
              <w:spacing w:after="0" w:line="240" w:lineRule="auto"/>
              <w:rPr>
                <w:rFonts w:eastAsia="Times New Roman" w:cs="Tahoma"/>
                <w:b/>
                <w:bCs/>
                <w:i/>
                <w:iCs/>
                <w:sz w:val="18"/>
                <w:szCs w:val="18"/>
                <w:lang w:eastAsia="fr-FR"/>
              </w:rPr>
            </w:pPr>
            <w:r w:rsidRPr="00926C90">
              <w:rPr>
                <w:rFonts w:eastAsia="Times New Roman" w:cs="Tahoma"/>
                <w:b/>
                <w:bCs/>
                <w:i/>
                <w:iCs/>
                <w:sz w:val="18"/>
                <w:szCs w:val="18"/>
                <w:lang w:eastAsia="fr-FR"/>
              </w:rPr>
              <w:t>Période de référence</w:t>
            </w:r>
          </w:p>
        </w:tc>
        <w:tc>
          <w:tcPr>
            <w:tcW w:w="864" w:type="dxa"/>
            <w:tcBorders>
              <w:top w:val="single" w:sz="8" w:space="0" w:color="auto"/>
              <w:bottom w:val="nil"/>
            </w:tcBorders>
            <w:shd w:val="clear" w:color="auto" w:fill="F7CAAC"/>
            <w:hideMark/>
          </w:tcPr>
          <w:p w:rsidR="008E583B" w:rsidRPr="00926C90" w:rsidRDefault="008E583B" w:rsidP="002F26E1">
            <w:pPr>
              <w:spacing w:after="0" w:line="240" w:lineRule="auto"/>
              <w:jc w:val="center"/>
              <w:rPr>
                <w:rFonts w:eastAsia="Times New Roman" w:cs="Tahoma"/>
                <w:b/>
                <w:bCs/>
                <w:sz w:val="18"/>
                <w:szCs w:val="18"/>
                <w:lang w:eastAsia="fr-FR"/>
              </w:rPr>
            </w:pPr>
            <w:r w:rsidRPr="00926C90">
              <w:rPr>
                <w:rFonts w:eastAsia="Times New Roman" w:cs="Tahoma"/>
                <w:b/>
                <w:bCs/>
                <w:sz w:val="18"/>
                <w:szCs w:val="18"/>
                <w:lang w:eastAsia="fr-FR"/>
              </w:rPr>
              <w:t>Sept.</w:t>
            </w:r>
          </w:p>
        </w:tc>
        <w:tc>
          <w:tcPr>
            <w:tcW w:w="720" w:type="dxa"/>
            <w:tcBorders>
              <w:top w:val="single" w:sz="8" w:space="0" w:color="auto"/>
              <w:bottom w:val="nil"/>
            </w:tcBorders>
            <w:shd w:val="clear" w:color="auto" w:fill="F7CAAC"/>
            <w:noWrap/>
            <w:hideMark/>
          </w:tcPr>
          <w:p w:rsidR="008E583B" w:rsidRPr="00926C90" w:rsidRDefault="008E583B" w:rsidP="002F26E1">
            <w:pPr>
              <w:spacing w:after="0" w:line="240" w:lineRule="auto"/>
              <w:jc w:val="center"/>
              <w:rPr>
                <w:rFonts w:eastAsia="Times New Roman" w:cs="Tahoma"/>
                <w:b/>
                <w:bCs/>
                <w:sz w:val="18"/>
                <w:szCs w:val="18"/>
                <w:lang w:eastAsia="fr-FR"/>
              </w:rPr>
            </w:pPr>
            <w:r w:rsidRPr="00926C90">
              <w:rPr>
                <w:rFonts w:eastAsia="Times New Roman" w:cs="Tahoma"/>
                <w:b/>
                <w:bCs/>
                <w:sz w:val="18"/>
                <w:szCs w:val="18"/>
                <w:lang w:eastAsia="fr-FR"/>
              </w:rPr>
              <w:t>Sept.</w:t>
            </w:r>
          </w:p>
        </w:tc>
        <w:tc>
          <w:tcPr>
            <w:tcW w:w="840" w:type="dxa"/>
            <w:tcBorders>
              <w:top w:val="single" w:sz="8" w:space="0" w:color="auto"/>
              <w:bottom w:val="nil"/>
            </w:tcBorders>
            <w:shd w:val="clear" w:color="auto" w:fill="F7CAAC"/>
            <w:noWrap/>
            <w:hideMark/>
          </w:tcPr>
          <w:p w:rsidR="008E583B" w:rsidRPr="00926C90" w:rsidRDefault="008E583B" w:rsidP="002F26E1">
            <w:pPr>
              <w:spacing w:after="0" w:line="240" w:lineRule="auto"/>
              <w:jc w:val="center"/>
              <w:rPr>
                <w:rFonts w:eastAsia="Times New Roman" w:cs="Tahoma"/>
                <w:b/>
                <w:bCs/>
                <w:sz w:val="18"/>
                <w:szCs w:val="18"/>
                <w:lang w:eastAsia="fr-FR"/>
              </w:rPr>
            </w:pPr>
            <w:r w:rsidRPr="00926C90">
              <w:rPr>
                <w:rFonts w:eastAsia="Times New Roman" w:cs="Tahoma"/>
                <w:b/>
                <w:bCs/>
                <w:sz w:val="18"/>
                <w:szCs w:val="18"/>
                <w:lang w:eastAsia="fr-FR"/>
              </w:rPr>
              <w:t>Sept.</w:t>
            </w:r>
          </w:p>
        </w:tc>
        <w:tc>
          <w:tcPr>
            <w:tcW w:w="992" w:type="dxa"/>
            <w:tcBorders>
              <w:top w:val="single" w:sz="8" w:space="0" w:color="auto"/>
              <w:bottom w:val="nil"/>
            </w:tcBorders>
            <w:shd w:val="clear" w:color="auto" w:fill="F7CAAC"/>
            <w:hideMark/>
          </w:tcPr>
          <w:p w:rsidR="008E583B" w:rsidRPr="00926C90" w:rsidRDefault="008E583B" w:rsidP="002F26E1">
            <w:pPr>
              <w:spacing w:after="0" w:line="240" w:lineRule="auto"/>
              <w:jc w:val="center"/>
              <w:rPr>
                <w:rFonts w:eastAsia="Times New Roman" w:cs="Tahoma"/>
                <w:b/>
                <w:bCs/>
                <w:sz w:val="18"/>
                <w:szCs w:val="18"/>
                <w:lang w:eastAsia="fr-FR"/>
              </w:rPr>
            </w:pPr>
            <w:r w:rsidRPr="00926C90">
              <w:rPr>
                <w:rFonts w:eastAsia="Times New Roman" w:cs="Tahoma"/>
                <w:b/>
                <w:bCs/>
                <w:sz w:val="18"/>
                <w:szCs w:val="18"/>
                <w:lang w:eastAsia="fr-FR"/>
              </w:rPr>
              <w:t>Sept.</w:t>
            </w:r>
          </w:p>
        </w:tc>
        <w:tc>
          <w:tcPr>
            <w:tcW w:w="993" w:type="dxa"/>
            <w:tcBorders>
              <w:top w:val="single" w:sz="8" w:space="0" w:color="auto"/>
              <w:bottom w:val="nil"/>
            </w:tcBorders>
            <w:shd w:val="clear" w:color="auto" w:fill="F7CAAC"/>
            <w:hideMark/>
          </w:tcPr>
          <w:p w:rsidR="008E583B" w:rsidRPr="00926C90" w:rsidRDefault="008E583B" w:rsidP="002F26E1">
            <w:pPr>
              <w:spacing w:after="0" w:line="240" w:lineRule="auto"/>
              <w:jc w:val="center"/>
              <w:rPr>
                <w:rFonts w:eastAsia="Times New Roman" w:cs="Tahoma"/>
                <w:b/>
                <w:bCs/>
                <w:sz w:val="18"/>
                <w:szCs w:val="18"/>
                <w:lang w:eastAsia="fr-FR"/>
              </w:rPr>
            </w:pPr>
            <w:r w:rsidRPr="00926C90">
              <w:rPr>
                <w:rFonts w:eastAsia="Times New Roman" w:cs="Tahoma"/>
                <w:b/>
                <w:bCs/>
                <w:sz w:val="18"/>
                <w:szCs w:val="18"/>
                <w:lang w:eastAsia="fr-FR"/>
              </w:rPr>
              <w:t>Sept.</w:t>
            </w:r>
          </w:p>
        </w:tc>
        <w:tc>
          <w:tcPr>
            <w:tcW w:w="850" w:type="dxa"/>
            <w:tcBorders>
              <w:top w:val="single" w:sz="8" w:space="0" w:color="auto"/>
              <w:bottom w:val="nil"/>
            </w:tcBorders>
            <w:shd w:val="clear" w:color="auto" w:fill="F7CAAC"/>
            <w:hideMark/>
          </w:tcPr>
          <w:p w:rsidR="008E583B" w:rsidRPr="00926C90" w:rsidRDefault="008E583B" w:rsidP="002F26E1">
            <w:pPr>
              <w:spacing w:after="0" w:line="240" w:lineRule="auto"/>
              <w:jc w:val="center"/>
              <w:rPr>
                <w:rFonts w:eastAsia="Times New Roman" w:cs="Tahoma"/>
                <w:b/>
                <w:bCs/>
                <w:sz w:val="18"/>
                <w:szCs w:val="18"/>
                <w:lang w:eastAsia="fr-FR"/>
              </w:rPr>
            </w:pPr>
            <w:r w:rsidRPr="00926C90">
              <w:rPr>
                <w:rFonts w:eastAsia="Times New Roman" w:cs="Tahoma"/>
                <w:b/>
                <w:bCs/>
                <w:sz w:val="18"/>
                <w:szCs w:val="18"/>
                <w:lang w:eastAsia="fr-FR"/>
              </w:rPr>
              <w:t>Sept.</w:t>
            </w:r>
          </w:p>
        </w:tc>
        <w:tc>
          <w:tcPr>
            <w:tcW w:w="992" w:type="dxa"/>
            <w:gridSpan w:val="2"/>
            <w:tcBorders>
              <w:top w:val="single" w:sz="8" w:space="0" w:color="auto"/>
              <w:bottom w:val="nil"/>
              <w:right w:val="single" w:sz="8" w:space="0" w:color="auto"/>
            </w:tcBorders>
            <w:shd w:val="clear" w:color="auto" w:fill="F7CAAC"/>
            <w:hideMark/>
          </w:tcPr>
          <w:p w:rsidR="008E583B" w:rsidRPr="00926C90" w:rsidRDefault="008E583B" w:rsidP="002F26E1">
            <w:pPr>
              <w:spacing w:after="0" w:line="240" w:lineRule="auto"/>
              <w:jc w:val="center"/>
              <w:rPr>
                <w:rFonts w:eastAsia="Times New Roman" w:cs="Tahoma"/>
                <w:b/>
                <w:bCs/>
                <w:sz w:val="18"/>
                <w:szCs w:val="18"/>
                <w:lang w:eastAsia="fr-FR"/>
              </w:rPr>
            </w:pPr>
            <w:r w:rsidRPr="00926C90">
              <w:rPr>
                <w:rFonts w:eastAsia="Times New Roman" w:cs="Tahoma"/>
                <w:b/>
                <w:bCs/>
                <w:sz w:val="18"/>
                <w:szCs w:val="18"/>
                <w:lang w:eastAsia="fr-FR"/>
              </w:rPr>
              <w:t>Mai</w:t>
            </w:r>
          </w:p>
        </w:tc>
      </w:tr>
      <w:tr w:rsidR="008E583B" w:rsidRPr="008E0A90" w:rsidTr="008E583B">
        <w:trPr>
          <w:trHeight w:hRule="exact" w:val="284"/>
        </w:trPr>
        <w:tc>
          <w:tcPr>
            <w:tcW w:w="3336" w:type="dxa"/>
            <w:tcBorders>
              <w:top w:val="nil"/>
              <w:left w:val="single" w:sz="8" w:space="0" w:color="auto"/>
              <w:bottom w:val="nil"/>
            </w:tcBorders>
            <w:shd w:val="clear" w:color="auto" w:fill="auto"/>
            <w:hideMark/>
          </w:tcPr>
          <w:p w:rsidR="008E583B" w:rsidRPr="00926C90" w:rsidRDefault="008E583B" w:rsidP="002F26E1">
            <w:pPr>
              <w:spacing w:after="0" w:line="240" w:lineRule="auto"/>
              <w:rPr>
                <w:rFonts w:eastAsia="Times New Roman" w:cs="Tahoma"/>
                <w:b/>
                <w:bCs/>
                <w:sz w:val="18"/>
                <w:szCs w:val="18"/>
                <w:lang w:eastAsia="fr-FR"/>
              </w:rPr>
            </w:pPr>
          </w:p>
        </w:tc>
        <w:tc>
          <w:tcPr>
            <w:tcW w:w="864" w:type="dxa"/>
            <w:tcBorders>
              <w:top w:val="nil"/>
              <w:bottom w:val="nil"/>
            </w:tcBorders>
            <w:shd w:val="clear" w:color="auto" w:fill="F7CAAC"/>
            <w:hideMark/>
          </w:tcPr>
          <w:p w:rsidR="008E583B" w:rsidRPr="00926C90" w:rsidRDefault="008E583B" w:rsidP="002F26E1">
            <w:pPr>
              <w:spacing w:after="0" w:line="240" w:lineRule="auto"/>
              <w:jc w:val="center"/>
              <w:rPr>
                <w:rFonts w:eastAsia="Times New Roman" w:cs="Tahoma"/>
                <w:b/>
                <w:bCs/>
                <w:sz w:val="18"/>
                <w:szCs w:val="18"/>
                <w:lang w:eastAsia="fr-FR"/>
              </w:rPr>
            </w:pPr>
          </w:p>
        </w:tc>
        <w:tc>
          <w:tcPr>
            <w:tcW w:w="720" w:type="dxa"/>
            <w:tcBorders>
              <w:top w:val="nil"/>
              <w:bottom w:val="nil"/>
            </w:tcBorders>
            <w:shd w:val="clear" w:color="auto" w:fill="F7CAAC"/>
            <w:noWrap/>
            <w:hideMark/>
          </w:tcPr>
          <w:p w:rsidR="008E583B" w:rsidRPr="00926C90" w:rsidRDefault="008E583B" w:rsidP="002F26E1">
            <w:pPr>
              <w:spacing w:after="0" w:line="240" w:lineRule="auto"/>
              <w:jc w:val="center"/>
              <w:rPr>
                <w:rFonts w:eastAsia="Times New Roman" w:cs="Times New Roman"/>
                <w:b/>
                <w:bCs/>
                <w:sz w:val="18"/>
                <w:szCs w:val="18"/>
                <w:lang w:eastAsia="fr-FR"/>
              </w:rPr>
            </w:pPr>
          </w:p>
        </w:tc>
        <w:tc>
          <w:tcPr>
            <w:tcW w:w="840" w:type="dxa"/>
            <w:tcBorders>
              <w:top w:val="nil"/>
              <w:bottom w:val="nil"/>
            </w:tcBorders>
            <w:shd w:val="clear" w:color="auto" w:fill="F7CAAC"/>
            <w:noWrap/>
            <w:hideMark/>
          </w:tcPr>
          <w:p w:rsidR="008E583B" w:rsidRPr="00926C90" w:rsidRDefault="008E583B" w:rsidP="002F26E1">
            <w:pPr>
              <w:spacing w:after="0" w:line="240" w:lineRule="auto"/>
              <w:jc w:val="center"/>
              <w:rPr>
                <w:rFonts w:eastAsia="Times New Roman" w:cs="Times New Roman"/>
                <w:b/>
                <w:bCs/>
                <w:sz w:val="18"/>
                <w:szCs w:val="18"/>
                <w:lang w:eastAsia="fr-FR"/>
              </w:rPr>
            </w:pPr>
          </w:p>
        </w:tc>
        <w:tc>
          <w:tcPr>
            <w:tcW w:w="992" w:type="dxa"/>
            <w:tcBorders>
              <w:top w:val="nil"/>
              <w:bottom w:val="nil"/>
            </w:tcBorders>
            <w:shd w:val="clear" w:color="auto" w:fill="F7CAAC"/>
            <w:hideMark/>
          </w:tcPr>
          <w:p w:rsidR="008E583B" w:rsidRPr="00926C90" w:rsidRDefault="008E583B" w:rsidP="002F26E1">
            <w:pPr>
              <w:spacing w:after="0" w:line="240" w:lineRule="auto"/>
              <w:jc w:val="center"/>
              <w:rPr>
                <w:rFonts w:eastAsia="Times New Roman" w:cs="Times New Roman"/>
                <w:b/>
                <w:bCs/>
                <w:sz w:val="18"/>
                <w:szCs w:val="18"/>
                <w:lang w:eastAsia="fr-FR"/>
              </w:rPr>
            </w:pPr>
          </w:p>
        </w:tc>
        <w:tc>
          <w:tcPr>
            <w:tcW w:w="993" w:type="dxa"/>
            <w:tcBorders>
              <w:top w:val="nil"/>
              <w:bottom w:val="nil"/>
            </w:tcBorders>
            <w:shd w:val="clear" w:color="auto" w:fill="F7CAAC"/>
            <w:hideMark/>
          </w:tcPr>
          <w:p w:rsidR="008E583B" w:rsidRPr="00926C90" w:rsidRDefault="008E583B" w:rsidP="002F26E1">
            <w:pPr>
              <w:spacing w:after="0" w:line="240" w:lineRule="auto"/>
              <w:jc w:val="center"/>
              <w:rPr>
                <w:rFonts w:eastAsia="Times New Roman" w:cs="Times New Roman"/>
                <w:b/>
                <w:bCs/>
                <w:sz w:val="18"/>
                <w:szCs w:val="18"/>
                <w:lang w:eastAsia="fr-FR"/>
              </w:rPr>
            </w:pPr>
          </w:p>
        </w:tc>
        <w:tc>
          <w:tcPr>
            <w:tcW w:w="850" w:type="dxa"/>
            <w:tcBorders>
              <w:top w:val="nil"/>
              <w:bottom w:val="nil"/>
            </w:tcBorders>
            <w:shd w:val="clear" w:color="auto" w:fill="F7CAAC"/>
            <w:hideMark/>
          </w:tcPr>
          <w:p w:rsidR="008E583B" w:rsidRPr="00926C90" w:rsidRDefault="008E583B" w:rsidP="002F26E1">
            <w:pPr>
              <w:spacing w:after="0" w:line="240" w:lineRule="auto"/>
              <w:jc w:val="center"/>
              <w:rPr>
                <w:rFonts w:eastAsia="Times New Roman" w:cs="Times New Roman"/>
                <w:b/>
                <w:bCs/>
                <w:sz w:val="18"/>
                <w:szCs w:val="18"/>
                <w:lang w:eastAsia="fr-FR"/>
              </w:rPr>
            </w:pPr>
          </w:p>
        </w:tc>
        <w:tc>
          <w:tcPr>
            <w:tcW w:w="992" w:type="dxa"/>
            <w:gridSpan w:val="2"/>
            <w:tcBorders>
              <w:top w:val="nil"/>
              <w:bottom w:val="nil"/>
              <w:right w:val="single" w:sz="8" w:space="0" w:color="auto"/>
            </w:tcBorders>
            <w:shd w:val="clear" w:color="auto" w:fill="F7CAAC"/>
            <w:hideMark/>
          </w:tcPr>
          <w:p w:rsidR="008E583B" w:rsidRPr="00926C90" w:rsidRDefault="008E583B" w:rsidP="002F26E1">
            <w:pPr>
              <w:spacing w:after="0" w:line="240" w:lineRule="auto"/>
              <w:jc w:val="center"/>
              <w:rPr>
                <w:rFonts w:eastAsia="Times New Roman" w:cs="Times New Roman"/>
                <w:b/>
                <w:bCs/>
                <w:sz w:val="18"/>
                <w:szCs w:val="18"/>
                <w:lang w:eastAsia="fr-FR"/>
              </w:rPr>
            </w:pPr>
          </w:p>
        </w:tc>
      </w:tr>
      <w:tr w:rsidR="008E583B" w:rsidRPr="008E0A90" w:rsidTr="008E583B">
        <w:trPr>
          <w:trHeight w:hRule="exact" w:val="284"/>
        </w:trPr>
        <w:tc>
          <w:tcPr>
            <w:tcW w:w="3336" w:type="dxa"/>
            <w:tcBorders>
              <w:top w:val="nil"/>
              <w:left w:val="single" w:sz="8" w:space="0" w:color="auto"/>
              <w:bottom w:val="nil"/>
            </w:tcBorders>
            <w:shd w:val="clear" w:color="000000" w:fill="FCD5B4"/>
            <w:hideMark/>
          </w:tcPr>
          <w:p w:rsidR="008E583B" w:rsidRPr="00926C90" w:rsidRDefault="008E583B" w:rsidP="002F26E1">
            <w:pPr>
              <w:spacing w:after="0" w:line="240" w:lineRule="auto"/>
              <w:rPr>
                <w:rFonts w:eastAsia="Times New Roman" w:cs="Times New Roman"/>
                <w:b/>
                <w:bCs/>
                <w:sz w:val="18"/>
                <w:szCs w:val="18"/>
                <w:lang w:eastAsia="fr-FR"/>
              </w:rPr>
            </w:pPr>
            <w:r w:rsidRPr="00926C90">
              <w:rPr>
                <w:rFonts w:eastAsia="Times New Roman" w:cs="Times New Roman"/>
                <w:b/>
                <w:bCs/>
                <w:sz w:val="18"/>
                <w:szCs w:val="18"/>
                <w:lang w:eastAsia="fr-FR"/>
              </w:rPr>
              <w:t>Population active du moment</w:t>
            </w:r>
          </w:p>
        </w:tc>
        <w:tc>
          <w:tcPr>
            <w:tcW w:w="864"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11 964</w:t>
            </w:r>
          </w:p>
        </w:tc>
        <w:tc>
          <w:tcPr>
            <w:tcW w:w="72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11 453</w:t>
            </w:r>
          </w:p>
        </w:tc>
        <w:tc>
          <w:tcPr>
            <w:tcW w:w="84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11 932</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12 117</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12 298</w:t>
            </w:r>
          </w:p>
        </w:tc>
        <w:tc>
          <w:tcPr>
            <w:tcW w:w="85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12 463</w:t>
            </w:r>
          </w:p>
        </w:tc>
        <w:tc>
          <w:tcPr>
            <w:tcW w:w="992" w:type="dxa"/>
            <w:gridSpan w:val="2"/>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12730</w:t>
            </w:r>
          </w:p>
        </w:tc>
      </w:tr>
      <w:tr w:rsidR="008E583B" w:rsidRPr="008E0A90" w:rsidTr="008E583B">
        <w:trPr>
          <w:trHeight w:hRule="exact" w:val="284"/>
        </w:trPr>
        <w:tc>
          <w:tcPr>
            <w:tcW w:w="3336" w:type="dxa"/>
            <w:tcBorders>
              <w:top w:val="nil"/>
              <w:left w:val="single" w:sz="8" w:space="0" w:color="auto"/>
              <w:bottom w:val="nil"/>
            </w:tcBorders>
            <w:shd w:val="clear" w:color="auto" w:fill="auto"/>
            <w:hideMark/>
          </w:tcPr>
          <w:p w:rsidR="008E583B" w:rsidRPr="00926C90" w:rsidRDefault="008E583B" w:rsidP="002F26E1">
            <w:pPr>
              <w:spacing w:after="0" w:line="240" w:lineRule="auto"/>
              <w:rPr>
                <w:rFonts w:eastAsia="Times New Roman" w:cs="Times New Roman"/>
                <w:b/>
                <w:bCs/>
                <w:sz w:val="18"/>
                <w:szCs w:val="18"/>
                <w:lang w:eastAsia="fr-FR"/>
              </w:rPr>
            </w:pPr>
            <w:r w:rsidRPr="00926C90">
              <w:rPr>
                <w:rFonts w:eastAsia="Times New Roman" w:cs="Times New Roman"/>
                <w:b/>
                <w:bCs/>
                <w:sz w:val="18"/>
                <w:szCs w:val="18"/>
                <w:lang w:eastAsia="fr-FR"/>
              </w:rPr>
              <w:t>Taux d'activité (En %)</w:t>
            </w:r>
          </w:p>
        </w:tc>
        <w:tc>
          <w:tcPr>
            <w:tcW w:w="864"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43,2</w:t>
            </w:r>
          </w:p>
        </w:tc>
        <w:tc>
          <w:tcPr>
            <w:tcW w:w="72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40,7</w:t>
            </w:r>
          </w:p>
        </w:tc>
        <w:tc>
          <w:tcPr>
            <w:tcW w:w="84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41,8</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41,8</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41,8</w:t>
            </w:r>
          </w:p>
        </w:tc>
        <w:tc>
          <w:tcPr>
            <w:tcW w:w="85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41,7</w:t>
            </w:r>
          </w:p>
        </w:tc>
        <w:tc>
          <w:tcPr>
            <w:tcW w:w="992" w:type="dxa"/>
            <w:gridSpan w:val="2"/>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42,2</w:t>
            </w:r>
          </w:p>
        </w:tc>
      </w:tr>
      <w:tr w:rsidR="008E583B" w:rsidRPr="008E0A90" w:rsidTr="008E583B">
        <w:trPr>
          <w:trHeight w:hRule="exact" w:val="284"/>
        </w:trPr>
        <w:tc>
          <w:tcPr>
            <w:tcW w:w="3336" w:type="dxa"/>
            <w:tcBorders>
              <w:top w:val="nil"/>
              <w:left w:val="single" w:sz="8" w:space="0" w:color="auto"/>
              <w:bottom w:val="nil"/>
            </w:tcBorders>
            <w:shd w:val="clear" w:color="000000" w:fill="D3DFEE"/>
            <w:hideMark/>
          </w:tcPr>
          <w:p w:rsidR="008E583B" w:rsidRPr="00926C90" w:rsidRDefault="008E583B" w:rsidP="002F26E1">
            <w:pPr>
              <w:spacing w:after="0" w:line="240" w:lineRule="auto"/>
              <w:rPr>
                <w:rFonts w:eastAsia="Times New Roman" w:cs="Times New Roman"/>
                <w:b/>
                <w:bCs/>
                <w:sz w:val="18"/>
                <w:szCs w:val="18"/>
                <w:lang w:eastAsia="fr-FR"/>
              </w:rPr>
            </w:pPr>
            <w:r w:rsidRPr="00926C90">
              <w:rPr>
                <w:rFonts w:eastAsia="Times New Roman" w:cs="Times New Roman"/>
                <w:b/>
                <w:bCs/>
                <w:sz w:val="18"/>
                <w:szCs w:val="18"/>
                <w:lang w:eastAsia="fr-FR"/>
              </w:rPr>
              <w:t>Population occupée du moment</w:t>
            </w:r>
          </w:p>
        </w:tc>
        <w:tc>
          <w:tcPr>
            <w:tcW w:w="864"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10 788</w:t>
            </w:r>
          </w:p>
        </w:tc>
        <w:tc>
          <w:tcPr>
            <w:tcW w:w="72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10 239</w:t>
            </w:r>
          </w:p>
        </w:tc>
        <w:tc>
          <w:tcPr>
            <w:tcW w:w="84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10 594</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10 845</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10 858</w:t>
            </w:r>
          </w:p>
        </w:tc>
        <w:tc>
          <w:tcPr>
            <w:tcW w:w="85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11 011</w:t>
            </w:r>
          </w:p>
        </w:tc>
        <w:tc>
          <w:tcPr>
            <w:tcW w:w="992" w:type="dxa"/>
            <w:gridSpan w:val="2"/>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11 281</w:t>
            </w:r>
          </w:p>
        </w:tc>
      </w:tr>
      <w:tr w:rsidR="008E583B" w:rsidRPr="008E0A90" w:rsidTr="008E583B">
        <w:trPr>
          <w:trHeight w:hRule="exact" w:val="284"/>
        </w:trPr>
        <w:tc>
          <w:tcPr>
            <w:tcW w:w="3336" w:type="dxa"/>
            <w:tcBorders>
              <w:top w:val="nil"/>
              <w:left w:val="single" w:sz="8" w:space="0" w:color="auto"/>
              <w:bottom w:val="nil"/>
            </w:tcBorders>
            <w:shd w:val="clear" w:color="auto" w:fill="auto"/>
            <w:hideMark/>
          </w:tcPr>
          <w:p w:rsidR="008E583B" w:rsidRPr="00926C90" w:rsidRDefault="008E583B" w:rsidP="002F26E1">
            <w:pPr>
              <w:spacing w:after="0" w:line="240" w:lineRule="auto"/>
              <w:rPr>
                <w:rFonts w:eastAsia="Times New Roman" w:cs="Times New Roman"/>
                <w:b/>
                <w:bCs/>
                <w:sz w:val="18"/>
                <w:szCs w:val="18"/>
                <w:lang w:eastAsia="fr-FR"/>
              </w:rPr>
            </w:pPr>
            <w:r w:rsidRPr="00926C90">
              <w:rPr>
                <w:rFonts w:eastAsia="Times New Roman" w:cs="Times New Roman"/>
                <w:b/>
                <w:bCs/>
                <w:sz w:val="18"/>
                <w:szCs w:val="18"/>
                <w:lang w:eastAsia="fr-FR"/>
              </w:rPr>
              <w:t>Taux d’emploi (En %)</w:t>
            </w:r>
          </w:p>
        </w:tc>
        <w:tc>
          <w:tcPr>
            <w:tcW w:w="864"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39</w:t>
            </w:r>
          </w:p>
        </w:tc>
        <w:tc>
          <w:tcPr>
            <w:tcW w:w="72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36,4</w:t>
            </w:r>
          </w:p>
        </w:tc>
        <w:tc>
          <w:tcPr>
            <w:tcW w:w="84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37,1</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37,4</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36,9</w:t>
            </w:r>
          </w:p>
        </w:tc>
        <w:tc>
          <w:tcPr>
            <w:tcW w:w="85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36,8</w:t>
            </w:r>
          </w:p>
        </w:tc>
        <w:tc>
          <w:tcPr>
            <w:tcW w:w="992" w:type="dxa"/>
            <w:gridSpan w:val="2"/>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37,4</w:t>
            </w:r>
          </w:p>
        </w:tc>
      </w:tr>
      <w:tr w:rsidR="008E583B" w:rsidRPr="008E0A90" w:rsidTr="008E583B">
        <w:trPr>
          <w:trHeight w:hRule="exact" w:val="284"/>
        </w:trPr>
        <w:tc>
          <w:tcPr>
            <w:tcW w:w="3336" w:type="dxa"/>
            <w:tcBorders>
              <w:top w:val="nil"/>
              <w:left w:val="single" w:sz="8" w:space="0" w:color="auto"/>
              <w:bottom w:val="nil"/>
            </w:tcBorders>
            <w:shd w:val="clear" w:color="000000" w:fill="D3DFEE"/>
            <w:hideMark/>
          </w:tcPr>
          <w:p w:rsidR="008E583B" w:rsidRPr="00926C90" w:rsidRDefault="008E583B" w:rsidP="002F26E1">
            <w:pPr>
              <w:spacing w:after="0" w:line="240" w:lineRule="auto"/>
              <w:rPr>
                <w:rFonts w:eastAsia="Times New Roman" w:cs="Times New Roman"/>
                <w:b/>
                <w:bCs/>
                <w:sz w:val="18"/>
                <w:szCs w:val="18"/>
                <w:lang w:eastAsia="fr-FR"/>
              </w:rPr>
            </w:pPr>
            <w:r w:rsidRPr="00926C90">
              <w:rPr>
                <w:rFonts w:eastAsia="Times New Roman" w:cs="Times New Roman"/>
                <w:b/>
                <w:bCs/>
                <w:sz w:val="18"/>
                <w:szCs w:val="18"/>
                <w:lang w:eastAsia="fr-FR"/>
              </w:rPr>
              <w:t>Population en Chômage</w:t>
            </w:r>
          </w:p>
        </w:tc>
        <w:tc>
          <w:tcPr>
            <w:tcW w:w="864"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1 175</w:t>
            </w:r>
          </w:p>
        </w:tc>
        <w:tc>
          <w:tcPr>
            <w:tcW w:w="72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1 214</w:t>
            </w:r>
          </w:p>
        </w:tc>
        <w:tc>
          <w:tcPr>
            <w:tcW w:w="84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1 337</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1 272</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1 440</w:t>
            </w:r>
          </w:p>
        </w:tc>
        <w:tc>
          <w:tcPr>
            <w:tcW w:w="85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1 462</w:t>
            </w:r>
          </w:p>
        </w:tc>
        <w:tc>
          <w:tcPr>
            <w:tcW w:w="992" w:type="dxa"/>
            <w:gridSpan w:val="2"/>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1 449</w:t>
            </w:r>
          </w:p>
        </w:tc>
      </w:tr>
      <w:tr w:rsidR="008E583B" w:rsidRPr="008E0A90" w:rsidTr="008E583B">
        <w:trPr>
          <w:trHeight w:hRule="exact" w:val="284"/>
        </w:trPr>
        <w:tc>
          <w:tcPr>
            <w:tcW w:w="3336" w:type="dxa"/>
            <w:tcBorders>
              <w:top w:val="nil"/>
              <w:left w:val="single" w:sz="8" w:space="0" w:color="auto"/>
              <w:bottom w:val="nil"/>
            </w:tcBorders>
            <w:shd w:val="clear" w:color="auto" w:fill="auto"/>
            <w:hideMark/>
          </w:tcPr>
          <w:p w:rsidR="008E583B" w:rsidRPr="00926C90" w:rsidRDefault="008E583B" w:rsidP="002F26E1">
            <w:pPr>
              <w:spacing w:after="0" w:line="240" w:lineRule="auto"/>
              <w:rPr>
                <w:rFonts w:eastAsia="Times New Roman" w:cs="Times New Roman"/>
                <w:b/>
                <w:bCs/>
                <w:sz w:val="18"/>
                <w:szCs w:val="18"/>
                <w:lang w:eastAsia="fr-FR"/>
              </w:rPr>
            </w:pPr>
            <w:r w:rsidRPr="00926C90">
              <w:rPr>
                <w:rFonts w:eastAsia="Times New Roman" w:cs="Times New Roman"/>
                <w:b/>
                <w:bCs/>
                <w:sz w:val="18"/>
                <w:szCs w:val="18"/>
                <w:lang w:eastAsia="fr-FR"/>
              </w:rPr>
              <w:t>Taux de chômage  (En %)</w:t>
            </w:r>
          </w:p>
        </w:tc>
        <w:tc>
          <w:tcPr>
            <w:tcW w:w="864"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9,8</w:t>
            </w:r>
          </w:p>
        </w:tc>
        <w:tc>
          <w:tcPr>
            <w:tcW w:w="72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10,6</w:t>
            </w:r>
          </w:p>
        </w:tc>
        <w:tc>
          <w:tcPr>
            <w:tcW w:w="84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11,2</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10,5</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11,7</w:t>
            </w:r>
          </w:p>
        </w:tc>
        <w:tc>
          <w:tcPr>
            <w:tcW w:w="85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11,7</w:t>
            </w:r>
          </w:p>
        </w:tc>
        <w:tc>
          <w:tcPr>
            <w:tcW w:w="992" w:type="dxa"/>
            <w:gridSpan w:val="2"/>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11,4</w:t>
            </w:r>
          </w:p>
        </w:tc>
      </w:tr>
      <w:tr w:rsidR="008E583B" w:rsidRPr="008E0A90" w:rsidTr="008E583B">
        <w:trPr>
          <w:trHeight w:hRule="exact" w:val="435"/>
        </w:trPr>
        <w:tc>
          <w:tcPr>
            <w:tcW w:w="3336" w:type="dxa"/>
            <w:tcBorders>
              <w:top w:val="nil"/>
              <w:left w:val="single" w:sz="8" w:space="0" w:color="auto"/>
              <w:bottom w:val="nil"/>
            </w:tcBorders>
            <w:shd w:val="clear" w:color="000000" w:fill="D3DFEE"/>
            <w:hideMark/>
          </w:tcPr>
          <w:p w:rsidR="008E583B" w:rsidRPr="00926C90" w:rsidRDefault="008E583B" w:rsidP="002F26E1">
            <w:pPr>
              <w:spacing w:after="0" w:line="240" w:lineRule="auto"/>
              <w:rPr>
                <w:rFonts w:eastAsia="Times New Roman" w:cs="Times New Roman"/>
                <w:b/>
                <w:bCs/>
                <w:sz w:val="18"/>
                <w:szCs w:val="18"/>
                <w:lang w:eastAsia="fr-FR"/>
              </w:rPr>
            </w:pPr>
            <w:r w:rsidRPr="00926C90">
              <w:rPr>
                <w:rFonts w:eastAsia="Times New Roman" w:cs="Times New Roman"/>
                <w:b/>
                <w:bCs/>
                <w:sz w:val="18"/>
                <w:szCs w:val="18"/>
                <w:lang w:eastAsia="fr-FR"/>
              </w:rPr>
              <w:t>Taux de chômage des jeunes (16-24 ans) (En %)</w:t>
            </w:r>
          </w:p>
        </w:tc>
        <w:tc>
          <w:tcPr>
            <w:tcW w:w="864"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24,8</w:t>
            </w:r>
          </w:p>
        </w:tc>
        <w:tc>
          <w:tcPr>
            <w:tcW w:w="72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25,2</w:t>
            </w:r>
          </w:p>
        </w:tc>
        <w:tc>
          <w:tcPr>
            <w:tcW w:w="84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29,9</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26,7</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28,3</w:t>
            </w:r>
          </w:p>
        </w:tc>
        <w:tc>
          <w:tcPr>
            <w:tcW w:w="85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29,1</w:t>
            </w:r>
          </w:p>
        </w:tc>
        <w:tc>
          <w:tcPr>
            <w:tcW w:w="992" w:type="dxa"/>
            <w:gridSpan w:val="2"/>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26,9</w:t>
            </w:r>
          </w:p>
        </w:tc>
      </w:tr>
      <w:tr w:rsidR="008E583B" w:rsidRPr="008E0A90" w:rsidTr="008E583B">
        <w:trPr>
          <w:trHeight w:hRule="exact" w:val="284"/>
        </w:trPr>
        <w:tc>
          <w:tcPr>
            <w:tcW w:w="9587" w:type="dxa"/>
            <w:gridSpan w:val="9"/>
            <w:tcBorders>
              <w:top w:val="nil"/>
              <w:left w:val="single" w:sz="8" w:space="0" w:color="auto"/>
              <w:bottom w:val="nil"/>
              <w:right w:val="single" w:sz="8" w:space="0" w:color="auto"/>
            </w:tcBorders>
            <w:shd w:val="clear" w:color="auto" w:fill="F7CAAC"/>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Sexe : Masculin</w:t>
            </w:r>
          </w:p>
        </w:tc>
      </w:tr>
      <w:tr w:rsidR="008E583B" w:rsidRPr="008E0A90" w:rsidTr="008E583B">
        <w:trPr>
          <w:trHeight w:hRule="exact" w:val="284"/>
        </w:trPr>
        <w:tc>
          <w:tcPr>
            <w:tcW w:w="3336" w:type="dxa"/>
            <w:tcBorders>
              <w:top w:val="nil"/>
              <w:left w:val="single" w:sz="8" w:space="0" w:color="auto"/>
              <w:bottom w:val="nil"/>
            </w:tcBorders>
            <w:shd w:val="clear" w:color="000000" w:fill="B7DEE8"/>
            <w:hideMark/>
          </w:tcPr>
          <w:p w:rsidR="008E583B" w:rsidRPr="00926C90" w:rsidRDefault="008E583B" w:rsidP="002F26E1">
            <w:pPr>
              <w:spacing w:after="0" w:line="240" w:lineRule="auto"/>
              <w:rPr>
                <w:rFonts w:eastAsia="Times New Roman" w:cs="Times New Roman"/>
                <w:b/>
                <w:bCs/>
                <w:sz w:val="18"/>
                <w:szCs w:val="18"/>
                <w:lang w:eastAsia="fr-FR"/>
              </w:rPr>
            </w:pPr>
            <w:r w:rsidRPr="00926C90">
              <w:rPr>
                <w:rFonts w:eastAsia="Times New Roman" w:cs="Times New Roman"/>
                <w:b/>
                <w:bCs/>
                <w:sz w:val="18"/>
                <w:szCs w:val="18"/>
                <w:lang w:eastAsia="fr-FR"/>
              </w:rPr>
              <w:t>Population occupée du moment</w:t>
            </w:r>
          </w:p>
        </w:tc>
        <w:tc>
          <w:tcPr>
            <w:tcW w:w="864"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8 885</w:t>
            </w:r>
          </w:p>
        </w:tc>
        <w:tc>
          <w:tcPr>
            <w:tcW w:w="72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8 517</w:t>
            </w:r>
          </w:p>
        </w:tc>
        <w:tc>
          <w:tcPr>
            <w:tcW w:w="84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8 660</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8 933</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8 893</w:t>
            </w:r>
          </w:p>
        </w:tc>
        <w:tc>
          <w:tcPr>
            <w:tcW w:w="1332" w:type="dxa"/>
            <w:gridSpan w:val="2"/>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9 040</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9 219</w:t>
            </w:r>
          </w:p>
        </w:tc>
      </w:tr>
      <w:tr w:rsidR="008E583B" w:rsidRPr="008E0A90" w:rsidTr="008E583B">
        <w:trPr>
          <w:trHeight w:hRule="exact" w:val="284"/>
        </w:trPr>
        <w:tc>
          <w:tcPr>
            <w:tcW w:w="3336" w:type="dxa"/>
            <w:tcBorders>
              <w:top w:val="nil"/>
              <w:left w:val="single" w:sz="8" w:space="0" w:color="auto"/>
              <w:bottom w:val="nil"/>
            </w:tcBorders>
            <w:shd w:val="clear" w:color="000000" w:fill="B7DEE8"/>
            <w:hideMark/>
          </w:tcPr>
          <w:p w:rsidR="008E583B" w:rsidRPr="00926C90" w:rsidRDefault="008E583B" w:rsidP="002F26E1">
            <w:pPr>
              <w:spacing w:after="0" w:line="240" w:lineRule="auto"/>
              <w:rPr>
                <w:rFonts w:eastAsia="Times New Roman" w:cs="Times New Roman"/>
                <w:b/>
                <w:bCs/>
                <w:sz w:val="18"/>
                <w:szCs w:val="18"/>
                <w:lang w:eastAsia="fr-FR"/>
              </w:rPr>
            </w:pPr>
            <w:r w:rsidRPr="00926C90">
              <w:rPr>
                <w:rFonts w:eastAsia="Times New Roman" w:cs="Times New Roman"/>
                <w:b/>
                <w:bCs/>
                <w:sz w:val="18"/>
                <w:szCs w:val="18"/>
                <w:lang w:eastAsia="fr-FR"/>
              </w:rPr>
              <w:t>Population en Chômage</w:t>
            </w:r>
          </w:p>
        </w:tc>
        <w:tc>
          <w:tcPr>
            <w:tcW w:w="864"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804</w:t>
            </w:r>
          </w:p>
        </w:tc>
        <w:tc>
          <w:tcPr>
            <w:tcW w:w="72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859</w:t>
            </w:r>
          </w:p>
        </w:tc>
        <w:tc>
          <w:tcPr>
            <w:tcW w:w="84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954</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792</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926</w:t>
            </w:r>
          </w:p>
        </w:tc>
        <w:tc>
          <w:tcPr>
            <w:tcW w:w="1332" w:type="dxa"/>
            <w:gridSpan w:val="2"/>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988</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920</w:t>
            </w:r>
          </w:p>
        </w:tc>
      </w:tr>
      <w:tr w:rsidR="008E583B" w:rsidRPr="008E0A90" w:rsidTr="008E583B">
        <w:trPr>
          <w:trHeight w:hRule="exact" w:val="284"/>
        </w:trPr>
        <w:tc>
          <w:tcPr>
            <w:tcW w:w="3336" w:type="dxa"/>
            <w:tcBorders>
              <w:top w:val="nil"/>
              <w:left w:val="single" w:sz="8" w:space="0" w:color="auto"/>
              <w:bottom w:val="nil"/>
            </w:tcBorders>
            <w:shd w:val="clear" w:color="000000" w:fill="B7DEE8"/>
            <w:hideMark/>
          </w:tcPr>
          <w:p w:rsidR="008E583B" w:rsidRPr="00926C90" w:rsidRDefault="008E583B" w:rsidP="002F26E1">
            <w:pPr>
              <w:spacing w:after="0" w:line="240" w:lineRule="auto"/>
              <w:rPr>
                <w:rFonts w:eastAsia="Times New Roman" w:cs="Times New Roman"/>
                <w:b/>
                <w:bCs/>
                <w:sz w:val="18"/>
                <w:szCs w:val="18"/>
                <w:lang w:eastAsia="fr-FR"/>
              </w:rPr>
            </w:pPr>
            <w:r w:rsidRPr="00926C90">
              <w:rPr>
                <w:rFonts w:eastAsia="Times New Roman" w:cs="Times New Roman"/>
                <w:b/>
                <w:bCs/>
                <w:sz w:val="18"/>
                <w:szCs w:val="18"/>
                <w:lang w:eastAsia="fr-FR"/>
              </w:rPr>
              <w:t>Population active du moment</w:t>
            </w:r>
          </w:p>
        </w:tc>
        <w:tc>
          <w:tcPr>
            <w:tcW w:w="864"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9 689</w:t>
            </w:r>
          </w:p>
        </w:tc>
        <w:tc>
          <w:tcPr>
            <w:tcW w:w="72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9 376</w:t>
            </w:r>
          </w:p>
        </w:tc>
        <w:tc>
          <w:tcPr>
            <w:tcW w:w="84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9 614</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9 725</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9 819</w:t>
            </w:r>
          </w:p>
        </w:tc>
        <w:tc>
          <w:tcPr>
            <w:tcW w:w="1332" w:type="dxa"/>
            <w:gridSpan w:val="2"/>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10 028</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10 140</w:t>
            </w:r>
          </w:p>
        </w:tc>
      </w:tr>
      <w:tr w:rsidR="008E583B" w:rsidRPr="008E0A90" w:rsidTr="008E583B">
        <w:trPr>
          <w:trHeight w:hRule="exact" w:val="284"/>
        </w:trPr>
        <w:tc>
          <w:tcPr>
            <w:tcW w:w="3336" w:type="dxa"/>
            <w:tcBorders>
              <w:top w:val="nil"/>
              <w:left w:val="single" w:sz="8" w:space="0" w:color="auto"/>
              <w:bottom w:val="nil"/>
            </w:tcBorders>
            <w:shd w:val="clear" w:color="000000" w:fill="B7DEE8"/>
            <w:hideMark/>
          </w:tcPr>
          <w:p w:rsidR="008E583B" w:rsidRPr="00926C90" w:rsidRDefault="008E583B" w:rsidP="002F26E1">
            <w:pPr>
              <w:spacing w:after="0" w:line="240" w:lineRule="auto"/>
              <w:rPr>
                <w:rFonts w:eastAsia="Times New Roman" w:cs="Times New Roman"/>
                <w:b/>
                <w:bCs/>
                <w:sz w:val="18"/>
                <w:szCs w:val="18"/>
                <w:lang w:eastAsia="fr-FR"/>
              </w:rPr>
            </w:pPr>
            <w:r w:rsidRPr="00926C90">
              <w:rPr>
                <w:rFonts w:eastAsia="Times New Roman" w:cs="Times New Roman"/>
                <w:b/>
                <w:bCs/>
                <w:sz w:val="18"/>
                <w:szCs w:val="18"/>
                <w:lang w:eastAsia="fr-FR"/>
              </w:rPr>
              <w:t>Taux de chômage  (En %)</w:t>
            </w:r>
          </w:p>
        </w:tc>
        <w:tc>
          <w:tcPr>
            <w:tcW w:w="864"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8,3</w:t>
            </w:r>
          </w:p>
        </w:tc>
        <w:tc>
          <w:tcPr>
            <w:tcW w:w="72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9,2</w:t>
            </w:r>
          </w:p>
        </w:tc>
        <w:tc>
          <w:tcPr>
            <w:tcW w:w="84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9,9</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8,1</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9,4</w:t>
            </w:r>
          </w:p>
        </w:tc>
        <w:tc>
          <w:tcPr>
            <w:tcW w:w="1332" w:type="dxa"/>
            <w:gridSpan w:val="2"/>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9,9</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9,1</w:t>
            </w:r>
          </w:p>
        </w:tc>
      </w:tr>
      <w:tr w:rsidR="008E583B" w:rsidRPr="008E0A90" w:rsidTr="008E583B">
        <w:trPr>
          <w:trHeight w:hRule="exact" w:val="284"/>
        </w:trPr>
        <w:tc>
          <w:tcPr>
            <w:tcW w:w="3336" w:type="dxa"/>
            <w:tcBorders>
              <w:top w:val="nil"/>
              <w:left w:val="single" w:sz="8" w:space="0" w:color="auto"/>
              <w:bottom w:val="nil"/>
            </w:tcBorders>
            <w:shd w:val="clear" w:color="000000" w:fill="B7DEE8"/>
            <w:hideMark/>
          </w:tcPr>
          <w:p w:rsidR="008E583B" w:rsidRPr="00926C90" w:rsidRDefault="008E583B" w:rsidP="002F26E1">
            <w:pPr>
              <w:spacing w:after="0" w:line="240" w:lineRule="auto"/>
              <w:rPr>
                <w:rFonts w:eastAsia="Times New Roman" w:cs="Times New Roman"/>
                <w:b/>
                <w:bCs/>
                <w:sz w:val="18"/>
                <w:szCs w:val="18"/>
                <w:lang w:eastAsia="fr-FR"/>
              </w:rPr>
            </w:pPr>
            <w:r w:rsidRPr="00926C90">
              <w:rPr>
                <w:rFonts w:eastAsia="Times New Roman" w:cs="Times New Roman"/>
                <w:b/>
                <w:bCs/>
                <w:sz w:val="18"/>
                <w:szCs w:val="18"/>
                <w:lang w:eastAsia="fr-FR"/>
              </w:rPr>
              <w:t>Taux d'activité (En %)</w:t>
            </w:r>
          </w:p>
        </w:tc>
        <w:tc>
          <w:tcPr>
            <w:tcW w:w="864"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69,5</w:t>
            </w:r>
          </w:p>
        </w:tc>
        <w:tc>
          <w:tcPr>
            <w:tcW w:w="72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66,2</w:t>
            </w:r>
          </w:p>
        </w:tc>
        <w:tc>
          <w:tcPr>
            <w:tcW w:w="84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66,8</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66,6</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66,3</w:t>
            </w:r>
          </w:p>
        </w:tc>
        <w:tc>
          <w:tcPr>
            <w:tcW w:w="1332" w:type="dxa"/>
            <w:gridSpan w:val="2"/>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66,7</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66,8</w:t>
            </w:r>
          </w:p>
        </w:tc>
      </w:tr>
      <w:tr w:rsidR="008E583B" w:rsidRPr="008E0A90" w:rsidTr="008E583B">
        <w:trPr>
          <w:trHeight w:hRule="exact" w:val="284"/>
        </w:trPr>
        <w:tc>
          <w:tcPr>
            <w:tcW w:w="3336" w:type="dxa"/>
            <w:tcBorders>
              <w:top w:val="nil"/>
              <w:left w:val="single" w:sz="8" w:space="0" w:color="auto"/>
              <w:bottom w:val="nil"/>
            </w:tcBorders>
            <w:shd w:val="clear" w:color="000000" w:fill="B7DEE8"/>
            <w:hideMark/>
          </w:tcPr>
          <w:p w:rsidR="008E583B" w:rsidRPr="00926C90" w:rsidRDefault="008E583B" w:rsidP="002F26E1">
            <w:pPr>
              <w:spacing w:after="0" w:line="240" w:lineRule="auto"/>
              <w:rPr>
                <w:rFonts w:eastAsia="Times New Roman" w:cs="Times New Roman"/>
                <w:b/>
                <w:bCs/>
                <w:sz w:val="18"/>
                <w:szCs w:val="18"/>
                <w:lang w:eastAsia="fr-FR"/>
              </w:rPr>
            </w:pPr>
            <w:r w:rsidRPr="00926C90">
              <w:rPr>
                <w:rFonts w:eastAsia="Times New Roman" w:cs="Times New Roman"/>
                <w:b/>
                <w:bCs/>
                <w:sz w:val="18"/>
                <w:szCs w:val="18"/>
                <w:lang w:eastAsia="fr-FR"/>
              </w:rPr>
              <w:t>Taux d’emploi  (En %)</w:t>
            </w:r>
          </w:p>
        </w:tc>
        <w:tc>
          <w:tcPr>
            <w:tcW w:w="864"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63,7</w:t>
            </w:r>
          </w:p>
        </w:tc>
        <w:tc>
          <w:tcPr>
            <w:tcW w:w="72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60,1</w:t>
            </w:r>
          </w:p>
        </w:tc>
        <w:tc>
          <w:tcPr>
            <w:tcW w:w="84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60,2</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61,2</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60</w:t>
            </w:r>
          </w:p>
        </w:tc>
        <w:tc>
          <w:tcPr>
            <w:tcW w:w="1332" w:type="dxa"/>
            <w:gridSpan w:val="2"/>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60,7</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60,7</w:t>
            </w:r>
          </w:p>
        </w:tc>
      </w:tr>
      <w:tr w:rsidR="008E583B" w:rsidRPr="008E0A90" w:rsidTr="008E583B">
        <w:trPr>
          <w:trHeight w:hRule="exact" w:val="284"/>
        </w:trPr>
        <w:tc>
          <w:tcPr>
            <w:tcW w:w="9077" w:type="dxa"/>
            <w:gridSpan w:val="8"/>
            <w:tcBorders>
              <w:top w:val="nil"/>
              <w:left w:val="single" w:sz="8" w:space="0" w:color="auto"/>
              <w:bottom w:val="nil"/>
            </w:tcBorders>
            <w:shd w:val="clear" w:color="auto" w:fill="F7CAAC"/>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Sexe : Féminin</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 </w:t>
            </w:r>
          </w:p>
        </w:tc>
      </w:tr>
      <w:tr w:rsidR="008E583B" w:rsidRPr="008E0A90" w:rsidTr="008E583B">
        <w:trPr>
          <w:trHeight w:hRule="exact" w:val="284"/>
        </w:trPr>
        <w:tc>
          <w:tcPr>
            <w:tcW w:w="3336" w:type="dxa"/>
            <w:tcBorders>
              <w:top w:val="nil"/>
              <w:left w:val="single" w:sz="8" w:space="0" w:color="auto"/>
              <w:bottom w:val="nil"/>
            </w:tcBorders>
            <w:shd w:val="clear" w:color="000000" w:fill="FCD5B4"/>
            <w:hideMark/>
          </w:tcPr>
          <w:p w:rsidR="008E583B" w:rsidRPr="00926C90" w:rsidRDefault="008E583B" w:rsidP="002F26E1">
            <w:pPr>
              <w:spacing w:after="0" w:line="240" w:lineRule="auto"/>
              <w:rPr>
                <w:rFonts w:eastAsia="Times New Roman" w:cs="Times New Roman"/>
                <w:b/>
                <w:bCs/>
                <w:sz w:val="18"/>
                <w:szCs w:val="18"/>
                <w:lang w:eastAsia="fr-FR"/>
              </w:rPr>
            </w:pPr>
            <w:r w:rsidRPr="00926C90">
              <w:rPr>
                <w:rFonts w:eastAsia="Times New Roman" w:cs="Times New Roman"/>
                <w:b/>
                <w:bCs/>
                <w:sz w:val="18"/>
                <w:szCs w:val="18"/>
                <w:lang w:eastAsia="fr-FR"/>
              </w:rPr>
              <w:t>Population occupée du moment</w:t>
            </w:r>
          </w:p>
        </w:tc>
        <w:tc>
          <w:tcPr>
            <w:tcW w:w="864"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1 904</w:t>
            </w:r>
          </w:p>
        </w:tc>
        <w:tc>
          <w:tcPr>
            <w:tcW w:w="72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1 722</w:t>
            </w:r>
          </w:p>
        </w:tc>
        <w:tc>
          <w:tcPr>
            <w:tcW w:w="84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1 934</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1 912</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1 965</w:t>
            </w:r>
          </w:p>
        </w:tc>
        <w:tc>
          <w:tcPr>
            <w:tcW w:w="1332" w:type="dxa"/>
            <w:gridSpan w:val="2"/>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1 961</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2 062</w:t>
            </w:r>
          </w:p>
        </w:tc>
      </w:tr>
      <w:tr w:rsidR="008E583B" w:rsidRPr="008E0A90" w:rsidTr="008E583B">
        <w:trPr>
          <w:trHeight w:hRule="exact" w:val="284"/>
        </w:trPr>
        <w:tc>
          <w:tcPr>
            <w:tcW w:w="3336" w:type="dxa"/>
            <w:tcBorders>
              <w:top w:val="nil"/>
              <w:left w:val="single" w:sz="8" w:space="0" w:color="auto"/>
              <w:bottom w:val="nil"/>
            </w:tcBorders>
            <w:shd w:val="clear" w:color="000000" w:fill="FCD5B4"/>
            <w:hideMark/>
          </w:tcPr>
          <w:p w:rsidR="008E583B" w:rsidRPr="00926C90" w:rsidRDefault="008E583B" w:rsidP="002F26E1">
            <w:pPr>
              <w:spacing w:after="0" w:line="240" w:lineRule="auto"/>
              <w:rPr>
                <w:rFonts w:eastAsia="Times New Roman" w:cs="Times New Roman"/>
                <w:b/>
                <w:bCs/>
                <w:sz w:val="18"/>
                <w:szCs w:val="18"/>
                <w:lang w:eastAsia="fr-FR"/>
              </w:rPr>
            </w:pPr>
            <w:r w:rsidRPr="00926C90">
              <w:rPr>
                <w:rFonts w:eastAsia="Times New Roman" w:cs="Times New Roman"/>
                <w:b/>
                <w:bCs/>
                <w:sz w:val="18"/>
                <w:szCs w:val="18"/>
                <w:lang w:eastAsia="fr-FR"/>
              </w:rPr>
              <w:t>Population en Chômage</w:t>
            </w:r>
          </w:p>
        </w:tc>
        <w:tc>
          <w:tcPr>
            <w:tcW w:w="864"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371</w:t>
            </w:r>
          </w:p>
        </w:tc>
        <w:tc>
          <w:tcPr>
            <w:tcW w:w="72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355</w:t>
            </w:r>
          </w:p>
        </w:tc>
        <w:tc>
          <w:tcPr>
            <w:tcW w:w="84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384</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479</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513</w:t>
            </w:r>
          </w:p>
        </w:tc>
        <w:tc>
          <w:tcPr>
            <w:tcW w:w="1332" w:type="dxa"/>
            <w:gridSpan w:val="2"/>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474</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529</w:t>
            </w:r>
          </w:p>
        </w:tc>
      </w:tr>
      <w:tr w:rsidR="008E583B" w:rsidRPr="008E0A90" w:rsidTr="008E583B">
        <w:trPr>
          <w:trHeight w:hRule="exact" w:val="284"/>
        </w:trPr>
        <w:tc>
          <w:tcPr>
            <w:tcW w:w="3336" w:type="dxa"/>
            <w:tcBorders>
              <w:top w:val="nil"/>
              <w:left w:val="single" w:sz="8" w:space="0" w:color="auto"/>
              <w:bottom w:val="nil"/>
            </w:tcBorders>
            <w:shd w:val="clear" w:color="000000" w:fill="FCD5B4"/>
            <w:hideMark/>
          </w:tcPr>
          <w:p w:rsidR="008E583B" w:rsidRPr="00926C90" w:rsidRDefault="008E583B" w:rsidP="002F26E1">
            <w:pPr>
              <w:spacing w:after="0" w:line="240" w:lineRule="auto"/>
              <w:rPr>
                <w:rFonts w:eastAsia="Times New Roman" w:cs="Times New Roman"/>
                <w:b/>
                <w:bCs/>
                <w:sz w:val="18"/>
                <w:szCs w:val="18"/>
                <w:lang w:eastAsia="fr-FR"/>
              </w:rPr>
            </w:pPr>
            <w:r w:rsidRPr="00926C90">
              <w:rPr>
                <w:rFonts w:eastAsia="Times New Roman" w:cs="Times New Roman"/>
                <w:b/>
                <w:bCs/>
                <w:sz w:val="18"/>
                <w:szCs w:val="18"/>
                <w:lang w:eastAsia="fr-FR"/>
              </w:rPr>
              <w:t>Population active du moment</w:t>
            </w:r>
          </w:p>
        </w:tc>
        <w:tc>
          <w:tcPr>
            <w:tcW w:w="864"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2 275</w:t>
            </w:r>
          </w:p>
        </w:tc>
        <w:tc>
          <w:tcPr>
            <w:tcW w:w="72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2 078</w:t>
            </w:r>
          </w:p>
        </w:tc>
        <w:tc>
          <w:tcPr>
            <w:tcW w:w="84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2 317</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2 392</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2 479</w:t>
            </w:r>
          </w:p>
        </w:tc>
        <w:tc>
          <w:tcPr>
            <w:tcW w:w="1332" w:type="dxa"/>
            <w:gridSpan w:val="2"/>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2 435</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2 591</w:t>
            </w:r>
          </w:p>
        </w:tc>
      </w:tr>
      <w:tr w:rsidR="008E583B" w:rsidRPr="008E0A90" w:rsidTr="008E583B">
        <w:trPr>
          <w:trHeight w:hRule="exact" w:val="284"/>
        </w:trPr>
        <w:tc>
          <w:tcPr>
            <w:tcW w:w="3336" w:type="dxa"/>
            <w:tcBorders>
              <w:top w:val="nil"/>
              <w:left w:val="single" w:sz="8" w:space="0" w:color="auto"/>
              <w:bottom w:val="nil"/>
            </w:tcBorders>
            <w:shd w:val="clear" w:color="000000" w:fill="FCD5B4"/>
            <w:hideMark/>
          </w:tcPr>
          <w:p w:rsidR="008E583B" w:rsidRPr="00926C90" w:rsidRDefault="008E583B" w:rsidP="002F26E1">
            <w:pPr>
              <w:spacing w:after="0" w:line="240" w:lineRule="auto"/>
              <w:rPr>
                <w:rFonts w:eastAsia="Times New Roman" w:cs="Times New Roman"/>
                <w:b/>
                <w:bCs/>
                <w:sz w:val="18"/>
                <w:szCs w:val="18"/>
                <w:lang w:eastAsia="fr-FR"/>
              </w:rPr>
            </w:pPr>
            <w:r w:rsidRPr="00926C90">
              <w:rPr>
                <w:rFonts w:eastAsia="Times New Roman" w:cs="Times New Roman"/>
                <w:b/>
                <w:bCs/>
                <w:sz w:val="18"/>
                <w:szCs w:val="18"/>
                <w:lang w:eastAsia="fr-FR"/>
              </w:rPr>
              <w:t>Taux de chômage (En %)</w:t>
            </w:r>
          </w:p>
        </w:tc>
        <w:tc>
          <w:tcPr>
            <w:tcW w:w="864"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16,3</w:t>
            </w:r>
          </w:p>
        </w:tc>
        <w:tc>
          <w:tcPr>
            <w:tcW w:w="72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17,1</w:t>
            </w:r>
          </w:p>
        </w:tc>
        <w:tc>
          <w:tcPr>
            <w:tcW w:w="84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16,6</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20</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20,7</w:t>
            </w:r>
          </w:p>
        </w:tc>
        <w:tc>
          <w:tcPr>
            <w:tcW w:w="1332" w:type="dxa"/>
            <w:gridSpan w:val="2"/>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19,4</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20,4</w:t>
            </w:r>
          </w:p>
        </w:tc>
      </w:tr>
      <w:tr w:rsidR="008E583B" w:rsidRPr="008E0A90" w:rsidTr="008E583B">
        <w:trPr>
          <w:trHeight w:hRule="exact" w:val="284"/>
        </w:trPr>
        <w:tc>
          <w:tcPr>
            <w:tcW w:w="3336" w:type="dxa"/>
            <w:tcBorders>
              <w:top w:val="nil"/>
              <w:left w:val="single" w:sz="8" w:space="0" w:color="auto"/>
              <w:bottom w:val="nil"/>
            </w:tcBorders>
            <w:shd w:val="clear" w:color="000000" w:fill="FCD5B4"/>
            <w:hideMark/>
          </w:tcPr>
          <w:p w:rsidR="008E583B" w:rsidRPr="00926C90" w:rsidRDefault="008E583B" w:rsidP="002F26E1">
            <w:pPr>
              <w:spacing w:after="0" w:line="240" w:lineRule="auto"/>
              <w:rPr>
                <w:rFonts w:eastAsia="Times New Roman" w:cs="Times New Roman"/>
                <w:b/>
                <w:bCs/>
                <w:sz w:val="18"/>
                <w:szCs w:val="18"/>
                <w:lang w:eastAsia="fr-FR"/>
              </w:rPr>
            </w:pPr>
            <w:r w:rsidRPr="00926C90">
              <w:rPr>
                <w:rFonts w:eastAsia="Times New Roman" w:cs="Times New Roman"/>
                <w:b/>
                <w:bCs/>
                <w:sz w:val="18"/>
                <w:szCs w:val="18"/>
                <w:lang w:eastAsia="fr-FR"/>
              </w:rPr>
              <w:t>Taux d'activité (En %)</w:t>
            </w:r>
          </w:p>
        </w:tc>
        <w:tc>
          <w:tcPr>
            <w:tcW w:w="864"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16,6</w:t>
            </w:r>
          </w:p>
        </w:tc>
        <w:tc>
          <w:tcPr>
            <w:tcW w:w="720"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14,9</w:t>
            </w:r>
          </w:p>
        </w:tc>
        <w:tc>
          <w:tcPr>
            <w:tcW w:w="84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16,4</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16,6</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17</w:t>
            </w:r>
          </w:p>
        </w:tc>
        <w:tc>
          <w:tcPr>
            <w:tcW w:w="1332" w:type="dxa"/>
            <w:gridSpan w:val="2"/>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16,4</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17,3</w:t>
            </w:r>
          </w:p>
        </w:tc>
      </w:tr>
      <w:tr w:rsidR="008E583B" w:rsidRPr="008E0A90" w:rsidTr="008E583B">
        <w:trPr>
          <w:trHeight w:hRule="exact" w:val="284"/>
        </w:trPr>
        <w:tc>
          <w:tcPr>
            <w:tcW w:w="3336" w:type="dxa"/>
            <w:tcBorders>
              <w:top w:val="nil"/>
              <w:left w:val="single" w:sz="8" w:space="0" w:color="auto"/>
            </w:tcBorders>
            <w:shd w:val="clear" w:color="000000" w:fill="FCD5B4"/>
            <w:hideMark/>
          </w:tcPr>
          <w:p w:rsidR="008E583B" w:rsidRPr="00926C90" w:rsidRDefault="008E583B" w:rsidP="002F26E1">
            <w:pPr>
              <w:spacing w:after="0" w:line="240" w:lineRule="auto"/>
              <w:rPr>
                <w:rFonts w:eastAsia="Times New Roman" w:cs="Times New Roman"/>
                <w:b/>
                <w:bCs/>
                <w:sz w:val="18"/>
                <w:szCs w:val="18"/>
                <w:lang w:eastAsia="fr-FR"/>
              </w:rPr>
            </w:pPr>
            <w:r w:rsidRPr="00926C90">
              <w:rPr>
                <w:rFonts w:eastAsia="Times New Roman" w:cs="Times New Roman"/>
                <w:b/>
                <w:bCs/>
                <w:sz w:val="18"/>
                <w:szCs w:val="18"/>
                <w:lang w:eastAsia="fr-FR"/>
              </w:rPr>
              <w:t>Taux d’emploi (En %)</w:t>
            </w:r>
          </w:p>
        </w:tc>
        <w:tc>
          <w:tcPr>
            <w:tcW w:w="864" w:type="dxa"/>
            <w:tcBorders>
              <w:top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13,9</w:t>
            </w:r>
          </w:p>
        </w:tc>
        <w:tc>
          <w:tcPr>
            <w:tcW w:w="720" w:type="dxa"/>
            <w:tcBorders>
              <w:top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12,3</w:t>
            </w:r>
          </w:p>
        </w:tc>
        <w:tc>
          <w:tcPr>
            <w:tcW w:w="840" w:type="dxa"/>
            <w:tcBorders>
              <w:top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13,6</w:t>
            </w:r>
          </w:p>
        </w:tc>
        <w:tc>
          <w:tcPr>
            <w:tcW w:w="992" w:type="dxa"/>
            <w:tcBorders>
              <w:top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13,3</w:t>
            </w:r>
          </w:p>
        </w:tc>
        <w:tc>
          <w:tcPr>
            <w:tcW w:w="993" w:type="dxa"/>
            <w:tcBorders>
              <w:top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13,5</w:t>
            </w:r>
          </w:p>
        </w:tc>
        <w:tc>
          <w:tcPr>
            <w:tcW w:w="1332" w:type="dxa"/>
            <w:gridSpan w:val="2"/>
            <w:tcBorders>
              <w:top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sz w:val="18"/>
                <w:szCs w:val="18"/>
                <w:lang w:eastAsia="fr-FR"/>
              </w:rPr>
            </w:pPr>
            <w:r w:rsidRPr="00926C90">
              <w:rPr>
                <w:rFonts w:eastAsia="Times New Roman" w:cs="Times New Roman"/>
                <w:sz w:val="18"/>
                <w:szCs w:val="18"/>
                <w:lang w:eastAsia="fr-FR"/>
              </w:rPr>
              <w:t>13,2</w:t>
            </w:r>
          </w:p>
        </w:tc>
        <w:tc>
          <w:tcPr>
            <w:tcW w:w="510" w:type="dxa"/>
            <w:tcBorders>
              <w:top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b/>
                <w:bCs/>
                <w:sz w:val="18"/>
                <w:szCs w:val="18"/>
                <w:lang w:eastAsia="fr-FR"/>
              </w:rPr>
            </w:pPr>
            <w:r w:rsidRPr="00926C90">
              <w:rPr>
                <w:rFonts w:eastAsia="Times New Roman" w:cs="Times New Roman"/>
                <w:b/>
                <w:bCs/>
                <w:sz w:val="18"/>
                <w:szCs w:val="18"/>
                <w:lang w:eastAsia="fr-FR"/>
              </w:rPr>
              <w:t>13,8</w:t>
            </w:r>
          </w:p>
        </w:tc>
      </w:tr>
      <w:tr w:rsidR="008E583B" w:rsidRPr="008E0A90" w:rsidTr="008E583B">
        <w:trPr>
          <w:trHeight w:hRule="exact" w:val="284"/>
        </w:trPr>
        <w:tc>
          <w:tcPr>
            <w:tcW w:w="3336" w:type="dxa"/>
            <w:tcBorders>
              <w:left w:val="single" w:sz="8" w:space="0" w:color="auto"/>
              <w:bottom w:val="nil"/>
              <w:right w:val="nil"/>
            </w:tcBorders>
            <w:shd w:val="clear" w:color="auto" w:fill="auto"/>
            <w:noWrap/>
            <w:vAlign w:val="bottom"/>
            <w:hideMark/>
          </w:tcPr>
          <w:p w:rsidR="008E583B" w:rsidRPr="00926C90" w:rsidRDefault="008E583B" w:rsidP="002F26E1">
            <w:pPr>
              <w:spacing w:after="0" w:line="240" w:lineRule="auto"/>
              <w:rPr>
                <w:rFonts w:eastAsia="Times New Roman" w:cs="Times New Roman"/>
                <w:color w:val="000000"/>
                <w:sz w:val="18"/>
                <w:szCs w:val="18"/>
                <w:lang w:eastAsia="fr-FR"/>
              </w:rPr>
            </w:pPr>
          </w:p>
        </w:tc>
        <w:tc>
          <w:tcPr>
            <w:tcW w:w="864" w:type="dxa"/>
            <w:tcBorders>
              <w:left w:val="nil"/>
              <w:bottom w:val="nil"/>
              <w:right w:val="nil"/>
            </w:tcBorders>
            <w:shd w:val="clear" w:color="auto" w:fill="auto"/>
            <w:noWrap/>
            <w:vAlign w:val="bottom"/>
            <w:hideMark/>
          </w:tcPr>
          <w:p w:rsidR="008E583B" w:rsidRPr="00926C90" w:rsidRDefault="008E583B" w:rsidP="002F26E1">
            <w:pPr>
              <w:spacing w:after="0" w:line="240" w:lineRule="auto"/>
              <w:rPr>
                <w:rFonts w:eastAsia="Times New Roman" w:cs="Times New Roman"/>
                <w:color w:val="000000"/>
                <w:sz w:val="18"/>
                <w:szCs w:val="18"/>
                <w:lang w:eastAsia="fr-FR"/>
              </w:rPr>
            </w:pPr>
          </w:p>
        </w:tc>
        <w:tc>
          <w:tcPr>
            <w:tcW w:w="720" w:type="dxa"/>
            <w:tcBorders>
              <w:left w:val="nil"/>
              <w:bottom w:val="nil"/>
              <w:right w:val="nil"/>
            </w:tcBorders>
            <w:shd w:val="clear" w:color="auto" w:fill="auto"/>
            <w:noWrap/>
            <w:vAlign w:val="bottom"/>
            <w:hideMark/>
          </w:tcPr>
          <w:p w:rsidR="008E583B" w:rsidRPr="00926C90" w:rsidRDefault="008E583B" w:rsidP="002F26E1">
            <w:pPr>
              <w:spacing w:after="0" w:line="240" w:lineRule="auto"/>
              <w:rPr>
                <w:rFonts w:eastAsia="Times New Roman" w:cs="Times New Roman"/>
                <w:color w:val="000000"/>
                <w:sz w:val="18"/>
                <w:szCs w:val="18"/>
                <w:lang w:eastAsia="fr-FR"/>
              </w:rPr>
            </w:pPr>
          </w:p>
        </w:tc>
        <w:tc>
          <w:tcPr>
            <w:tcW w:w="840" w:type="dxa"/>
            <w:tcBorders>
              <w:left w:val="nil"/>
              <w:bottom w:val="nil"/>
              <w:right w:val="nil"/>
            </w:tcBorders>
            <w:shd w:val="clear" w:color="auto" w:fill="auto"/>
            <w:noWrap/>
            <w:vAlign w:val="bottom"/>
            <w:hideMark/>
          </w:tcPr>
          <w:p w:rsidR="008E583B" w:rsidRPr="00926C90" w:rsidRDefault="008E583B" w:rsidP="002F26E1">
            <w:pPr>
              <w:spacing w:after="0" w:line="240" w:lineRule="auto"/>
              <w:rPr>
                <w:rFonts w:eastAsia="Times New Roman" w:cs="Times New Roman"/>
                <w:color w:val="000000"/>
                <w:sz w:val="18"/>
                <w:szCs w:val="18"/>
                <w:lang w:eastAsia="fr-FR"/>
              </w:rPr>
            </w:pPr>
          </w:p>
        </w:tc>
        <w:tc>
          <w:tcPr>
            <w:tcW w:w="992" w:type="dxa"/>
            <w:tcBorders>
              <w:left w:val="nil"/>
              <w:bottom w:val="nil"/>
              <w:right w:val="nil"/>
            </w:tcBorders>
            <w:shd w:val="clear" w:color="auto" w:fill="auto"/>
            <w:noWrap/>
            <w:vAlign w:val="bottom"/>
            <w:hideMark/>
          </w:tcPr>
          <w:p w:rsidR="008E583B" w:rsidRPr="00926C90" w:rsidRDefault="008E583B" w:rsidP="002F26E1">
            <w:pPr>
              <w:spacing w:after="0" w:line="240" w:lineRule="auto"/>
              <w:rPr>
                <w:rFonts w:eastAsia="Times New Roman" w:cs="Times New Roman"/>
                <w:color w:val="000000"/>
                <w:sz w:val="18"/>
                <w:szCs w:val="18"/>
                <w:lang w:eastAsia="fr-FR"/>
              </w:rPr>
            </w:pPr>
          </w:p>
        </w:tc>
        <w:tc>
          <w:tcPr>
            <w:tcW w:w="993" w:type="dxa"/>
            <w:tcBorders>
              <w:left w:val="nil"/>
              <w:bottom w:val="nil"/>
              <w:right w:val="nil"/>
            </w:tcBorders>
            <w:shd w:val="clear" w:color="auto" w:fill="auto"/>
            <w:noWrap/>
            <w:vAlign w:val="bottom"/>
            <w:hideMark/>
          </w:tcPr>
          <w:p w:rsidR="008E583B" w:rsidRPr="00926C90" w:rsidRDefault="008E583B" w:rsidP="002F26E1">
            <w:pPr>
              <w:spacing w:after="0" w:line="240" w:lineRule="auto"/>
              <w:rPr>
                <w:rFonts w:eastAsia="Times New Roman" w:cs="Times New Roman"/>
                <w:color w:val="000000"/>
                <w:sz w:val="18"/>
                <w:szCs w:val="18"/>
                <w:lang w:eastAsia="fr-FR"/>
              </w:rPr>
            </w:pPr>
          </w:p>
        </w:tc>
        <w:tc>
          <w:tcPr>
            <w:tcW w:w="1332" w:type="dxa"/>
            <w:gridSpan w:val="2"/>
            <w:tcBorders>
              <w:left w:val="nil"/>
              <w:bottom w:val="nil"/>
              <w:right w:val="nil"/>
            </w:tcBorders>
            <w:shd w:val="clear" w:color="auto" w:fill="auto"/>
            <w:noWrap/>
            <w:vAlign w:val="bottom"/>
            <w:hideMark/>
          </w:tcPr>
          <w:p w:rsidR="008E583B" w:rsidRPr="00926C90" w:rsidRDefault="008E583B" w:rsidP="002F26E1">
            <w:pPr>
              <w:spacing w:after="0" w:line="240" w:lineRule="auto"/>
              <w:rPr>
                <w:rFonts w:eastAsia="Times New Roman" w:cs="Times New Roman"/>
                <w:color w:val="000000"/>
                <w:sz w:val="18"/>
                <w:szCs w:val="18"/>
                <w:lang w:eastAsia="fr-FR"/>
              </w:rPr>
            </w:pPr>
          </w:p>
        </w:tc>
        <w:tc>
          <w:tcPr>
            <w:tcW w:w="510" w:type="dxa"/>
            <w:tcBorders>
              <w:left w:val="nil"/>
              <w:bottom w:val="nil"/>
              <w:right w:val="single" w:sz="8" w:space="0" w:color="auto"/>
            </w:tcBorders>
            <w:shd w:val="clear" w:color="auto" w:fill="auto"/>
            <w:noWrap/>
            <w:vAlign w:val="bottom"/>
            <w:hideMark/>
          </w:tcPr>
          <w:p w:rsidR="008E583B" w:rsidRPr="00926C90" w:rsidRDefault="008E583B" w:rsidP="002F26E1">
            <w:pPr>
              <w:spacing w:after="0" w:line="240" w:lineRule="auto"/>
              <w:rPr>
                <w:rFonts w:eastAsia="Times New Roman" w:cs="Times New Roman"/>
                <w:color w:val="000000"/>
                <w:sz w:val="18"/>
                <w:szCs w:val="18"/>
                <w:lang w:eastAsia="fr-FR"/>
              </w:rPr>
            </w:pPr>
          </w:p>
        </w:tc>
      </w:tr>
      <w:tr w:rsidR="008E583B" w:rsidRPr="008E0A90" w:rsidTr="008E583B">
        <w:trPr>
          <w:trHeight w:hRule="exact" w:val="284"/>
        </w:trPr>
        <w:tc>
          <w:tcPr>
            <w:tcW w:w="9587" w:type="dxa"/>
            <w:gridSpan w:val="9"/>
            <w:tcBorders>
              <w:top w:val="nil"/>
              <w:left w:val="single" w:sz="8" w:space="0" w:color="auto"/>
              <w:bottom w:val="nil"/>
              <w:right w:val="single" w:sz="8" w:space="0" w:color="auto"/>
            </w:tcBorders>
            <w:shd w:val="clear" w:color="auto" w:fill="auto"/>
            <w:vAlign w:val="bottom"/>
            <w:hideMark/>
          </w:tcPr>
          <w:p w:rsidR="008E583B" w:rsidRPr="00926C90" w:rsidRDefault="008E583B" w:rsidP="002F26E1">
            <w:pPr>
              <w:spacing w:after="0" w:line="240" w:lineRule="auto"/>
              <w:jc w:val="center"/>
              <w:rPr>
                <w:rFonts w:eastAsia="Times New Roman" w:cs="Times New Roman"/>
                <w:b/>
                <w:bCs/>
                <w:color w:val="365F91"/>
                <w:sz w:val="18"/>
                <w:szCs w:val="18"/>
                <w:lang w:eastAsia="fr-FR"/>
              </w:rPr>
            </w:pPr>
            <w:r w:rsidRPr="00926C90">
              <w:rPr>
                <w:rFonts w:eastAsia="Times New Roman" w:cs="Times New Roman"/>
                <w:b/>
                <w:bCs/>
                <w:color w:val="365F91"/>
                <w:sz w:val="18"/>
                <w:szCs w:val="18"/>
                <w:lang w:eastAsia="fr-FR"/>
              </w:rPr>
              <w:t>Situation dans la profession</w:t>
            </w:r>
          </w:p>
        </w:tc>
      </w:tr>
      <w:tr w:rsidR="008E583B" w:rsidRPr="008E0A90" w:rsidTr="008E583B">
        <w:trPr>
          <w:trHeight w:hRule="exact" w:val="284"/>
        </w:trPr>
        <w:tc>
          <w:tcPr>
            <w:tcW w:w="3336" w:type="dxa"/>
            <w:tcBorders>
              <w:top w:val="nil"/>
              <w:left w:val="single" w:sz="8" w:space="0" w:color="auto"/>
              <w:bottom w:val="nil"/>
            </w:tcBorders>
            <w:shd w:val="clear" w:color="000000" w:fill="D3DFEE"/>
            <w:hideMark/>
          </w:tcPr>
          <w:p w:rsidR="008E583B" w:rsidRPr="00926C90" w:rsidRDefault="008E583B" w:rsidP="002F26E1">
            <w:pPr>
              <w:spacing w:after="0" w:line="240" w:lineRule="auto"/>
              <w:rPr>
                <w:rFonts w:eastAsia="Times New Roman" w:cs="Times New Roman"/>
                <w:b/>
                <w:bCs/>
                <w:color w:val="365F91"/>
                <w:sz w:val="18"/>
                <w:szCs w:val="18"/>
                <w:lang w:eastAsia="fr-FR"/>
              </w:rPr>
            </w:pPr>
            <w:r w:rsidRPr="00926C90">
              <w:rPr>
                <w:rFonts w:eastAsia="Times New Roman" w:cs="Times New Roman"/>
                <w:b/>
                <w:bCs/>
                <w:color w:val="365F91"/>
                <w:sz w:val="18"/>
                <w:szCs w:val="18"/>
                <w:lang w:eastAsia="fr-FR"/>
              </w:rPr>
              <w:t xml:space="preserve">Employeurs &amp;   </w:t>
            </w:r>
          </w:p>
        </w:tc>
        <w:tc>
          <w:tcPr>
            <w:tcW w:w="864" w:type="dxa"/>
            <w:vMerge w:val="restart"/>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3 117</w:t>
            </w:r>
          </w:p>
        </w:tc>
        <w:tc>
          <w:tcPr>
            <w:tcW w:w="720" w:type="dxa"/>
            <w:vMerge w:val="restart"/>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2 811</w:t>
            </w:r>
          </w:p>
        </w:tc>
        <w:tc>
          <w:tcPr>
            <w:tcW w:w="840" w:type="dxa"/>
            <w:vMerge w:val="restart"/>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3 042</w:t>
            </w:r>
          </w:p>
        </w:tc>
        <w:tc>
          <w:tcPr>
            <w:tcW w:w="992" w:type="dxa"/>
            <w:vMerge w:val="restart"/>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3 133</w:t>
            </w:r>
          </w:p>
        </w:tc>
        <w:tc>
          <w:tcPr>
            <w:tcW w:w="993" w:type="dxa"/>
            <w:vMerge w:val="restart"/>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3 236</w:t>
            </w:r>
          </w:p>
        </w:tc>
        <w:tc>
          <w:tcPr>
            <w:tcW w:w="1332" w:type="dxa"/>
            <w:gridSpan w:val="2"/>
            <w:vMerge w:val="restart"/>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3 382</w:t>
            </w:r>
          </w:p>
        </w:tc>
        <w:tc>
          <w:tcPr>
            <w:tcW w:w="510" w:type="dxa"/>
            <w:vMerge w:val="restart"/>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right"/>
              <w:rPr>
                <w:rFonts w:eastAsia="Times New Roman" w:cs="Times New Roman"/>
                <w:color w:val="365F91"/>
                <w:sz w:val="18"/>
                <w:szCs w:val="18"/>
                <w:lang w:eastAsia="fr-FR"/>
              </w:rPr>
            </w:pPr>
            <w:r w:rsidRPr="00926C90">
              <w:rPr>
                <w:rFonts w:eastAsia="Times New Roman" w:cs="Times New Roman"/>
                <w:color w:val="365F91"/>
                <w:sz w:val="18"/>
                <w:szCs w:val="18"/>
                <w:lang w:eastAsia="fr-FR"/>
              </w:rPr>
              <w:t>3473</w:t>
            </w:r>
          </w:p>
        </w:tc>
      </w:tr>
      <w:tr w:rsidR="008E583B" w:rsidRPr="008E0A90" w:rsidTr="008E583B">
        <w:trPr>
          <w:trHeight w:hRule="exact" w:val="284"/>
        </w:trPr>
        <w:tc>
          <w:tcPr>
            <w:tcW w:w="3336" w:type="dxa"/>
            <w:tcBorders>
              <w:top w:val="nil"/>
              <w:left w:val="single" w:sz="8" w:space="0" w:color="auto"/>
              <w:bottom w:val="nil"/>
            </w:tcBorders>
            <w:shd w:val="clear" w:color="000000" w:fill="D3DFEE"/>
            <w:hideMark/>
          </w:tcPr>
          <w:p w:rsidR="008E583B" w:rsidRPr="00926C90" w:rsidRDefault="008E583B" w:rsidP="002F26E1">
            <w:pPr>
              <w:spacing w:after="0" w:line="240" w:lineRule="auto"/>
              <w:rPr>
                <w:rFonts w:eastAsia="Times New Roman" w:cs="Times New Roman"/>
                <w:b/>
                <w:bCs/>
                <w:color w:val="365F91"/>
                <w:sz w:val="18"/>
                <w:szCs w:val="18"/>
                <w:lang w:eastAsia="fr-FR"/>
              </w:rPr>
            </w:pPr>
            <w:r w:rsidRPr="00926C90">
              <w:rPr>
                <w:rFonts w:eastAsia="Times New Roman" w:cs="Times New Roman"/>
                <w:b/>
                <w:bCs/>
                <w:color w:val="365F91"/>
                <w:sz w:val="18"/>
                <w:szCs w:val="18"/>
                <w:lang w:eastAsia="fr-FR"/>
              </w:rPr>
              <w:t>Indépendants</w:t>
            </w:r>
          </w:p>
        </w:tc>
        <w:tc>
          <w:tcPr>
            <w:tcW w:w="864" w:type="dxa"/>
            <w:vMerge/>
            <w:tcBorders>
              <w:top w:val="nil"/>
              <w:bottom w:val="nil"/>
            </w:tcBorders>
            <w:shd w:val="clear" w:color="auto" w:fill="F7CAAC"/>
            <w:vAlign w:val="center"/>
            <w:hideMark/>
          </w:tcPr>
          <w:p w:rsidR="008E583B" w:rsidRPr="00926C90" w:rsidRDefault="008E583B" w:rsidP="002F26E1">
            <w:pPr>
              <w:spacing w:after="0" w:line="240" w:lineRule="auto"/>
              <w:rPr>
                <w:rFonts w:eastAsia="Times New Roman" w:cs="Times New Roman"/>
                <w:color w:val="365F91"/>
                <w:sz w:val="18"/>
                <w:szCs w:val="18"/>
                <w:lang w:eastAsia="fr-FR"/>
              </w:rPr>
            </w:pPr>
          </w:p>
        </w:tc>
        <w:tc>
          <w:tcPr>
            <w:tcW w:w="720" w:type="dxa"/>
            <w:vMerge/>
            <w:tcBorders>
              <w:top w:val="nil"/>
              <w:bottom w:val="nil"/>
            </w:tcBorders>
            <w:shd w:val="clear" w:color="auto" w:fill="F7CAAC"/>
            <w:vAlign w:val="center"/>
            <w:hideMark/>
          </w:tcPr>
          <w:p w:rsidR="008E583B" w:rsidRPr="00926C90" w:rsidRDefault="008E583B" w:rsidP="002F26E1">
            <w:pPr>
              <w:spacing w:after="0" w:line="240" w:lineRule="auto"/>
              <w:rPr>
                <w:rFonts w:eastAsia="Times New Roman" w:cs="Times New Roman"/>
                <w:color w:val="365F91"/>
                <w:sz w:val="18"/>
                <w:szCs w:val="18"/>
                <w:lang w:eastAsia="fr-FR"/>
              </w:rPr>
            </w:pPr>
          </w:p>
        </w:tc>
        <w:tc>
          <w:tcPr>
            <w:tcW w:w="840" w:type="dxa"/>
            <w:vMerge/>
            <w:tcBorders>
              <w:top w:val="nil"/>
              <w:bottom w:val="nil"/>
            </w:tcBorders>
            <w:shd w:val="clear" w:color="auto" w:fill="F7CAAC"/>
            <w:vAlign w:val="center"/>
            <w:hideMark/>
          </w:tcPr>
          <w:p w:rsidR="008E583B" w:rsidRPr="00926C90" w:rsidRDefault="008E583B" w:rsidP="002F26E1">
            <w:pPr>
              <w:spacing w:after="0" w:line="240" w:lineRule="auto"/>
              <w:rPr>
                <w:rFonts w:eastAsia="Times New Roman" w:cs="Times New Roman"/>
                <w:color w:val="365F91"/>
                <w:sz w:val="18"/>
                <w:szCs w:val="18"/>
                <w:lang w:eastAsia="fr-FR"/>
              </w:rPr>
            </w:pPr>
          </w:p>
        </w:tc>
        <w:tc>
          <w:tcPr>
            <w:tcW w:w="992" w:type="dxa"/>
            <w:vMerge/>
            <w:tcBorders>
              <w:top w:val="nil"/>
              <w:bottom w:val="nil"/>
            </w:tcBorders>
            <w:shd w:val="clear" w:color="auto" w:fill="F7CAAC"/>
            <w:vAlign w:val="center"/>
            <w:hideMark/>
          </w:tcPr>
          <w:p w:rsidR="008E583B" w:rsidRPr="00926C90" w:rsidRDefault="008E583B" w:rsidP="002F26E1">
            <w:pPr>
              <w:spacing w:after="0" w:line="240" w:lineRule="auto"/>
              <w:rPr>
                <w:rFonts w:eastAsia="Times New Roman" w:cs="Times New Roman"/>
                <w:color w:val="365F91"/>
                <w:sz w:val="18"/>
                <w:szCs w:val="18"/>
                <w:lang w:eastAsia="fr-FR"/>
              </w:rPr>
            </w:pPr>
          </w:p>
        </w:tc>
        <w:tc>
          <w:tcPr>
            <w:tcW w:w="993" w:type="dxa"/>
            <w:vMerge/>
            <w:tcBorders>
              <w:top w:val="nil"/>
              <w:bottom w:val="nil"/>
            </w:tcBorders>
            <w:shd w:val="clear" w:color="auto" w:fill="F7CAAC"/>
            <w:vAlign w:val="center"/>
            <w:hideMark/>
          </w:tcPr>
          <w:p w:rsidR="008E583B" w:rsidRPr="00926C90" w:rsidRDefault="008E583B" w:rsidP="002F26E1">
            <w:pPr>
              <w:spacing w:after="0" w:line="240" w:lineRule="auto"/>
              <w:rPr>
                <w:rFonts w:eastAsia="Times New Roman" w:cs="Times New Roman"/>
                <w:color w:val="365F91"/>
                <w:sz w:val="18"/>
                <w:szCs w:val="18"/>
                <w:lang w:eastAsia="fr-FR"/>
              </w:rPr>
            </w:pPr>
          </w:p>
        </w:tc>
        <w:tc>
          <w:tcPr>
            <w:tcW w:w="1332" w:type="dxa"/>
            <w:gridSpan w:val="2"/>
            <w:vMerge/>
            <w:tcBorders>
              <w:top w:val="nil"/>
              <w:bottom w:val="nil"/>
            </w:tcBorders>
            <w:shd w:val="clear" w:color="auto" w:fill="F7CAAC"/>
            <w:vAlign w:val="center"/>
            <w:hideMark/>
          </w:tcPr>
          <w:p w:rsidR="008E583B" w:rsidRPr="00926C90" w:rsidRDefault="008E583B" w:rsidP="002F26E1">
            <w:pPr>
              <w:spacing w:after="0" w:line="240" w:lineRule="auto"/>
              <w:rPr>
                <w:rFonts w:eastAsia="Times New Roman" w:cs="Times New Roman"/>
                <w:color w:val="365F91"/>
                <w:sz w:val="18"/>
                <w:szCs w:val="18"/>
                <w:lang w:eastAsia="fr-FR"/>
              </w:rPr>
            </w:pPr>
          </w:p>
        </w:tc>
        <w:tc>
          <w:tcPr>
            <w:tcW w:w="510" w:type="dxa"/>
            <w:vMerge/>
            <w:tcBorders>
              <w:top w:val="nil"/>
              <w:bottom w:val="nil"/>
              <w:right w:val="single" w:sz="8" w:space="0" w:color="auto"/>
            </w:tcBorders>
            <w:shd w:val="clear" w:color="auto" w:fill="F7CAAC"/>
            <w:vAlign w:val="center"/>
            <w:hideMark/>
          </w:tcPr>
          <w:p w:rsidR="008E583B" w:rsidRPr="00926C90" w:rsidRDefault="008E583B" w:rsidP="002F26E1">
            <w:pPr>
              <w:spacing w:after="0" w:line="240" w:lineRule="auto"/>
              <w:rPr>
                <w:rFonts w:eastAsia="Times New Roman" w:cs="Times New Roman"/>
                <w:color w:val="365F91"/>
                <w:sz w:val="18"/>
                <w:szCs w:val="18"/>
                <w:lang w:eastAsia="fr-FR"/>
              </w:rPr>
            </w:pPr>
          </w:p>
        </w:tc>
      </w:tr>
      <w:tr w:rsidR="008E583B" w:rsidRPr="008E0A90" w:rsidTr="008E583B">
        <w:trPr>
          <w:trHeight w:hRule="exact" w:val="284"/>
        </w:trPr>
        <w:tc>
          <w:tcPr>
            <w:tcW w:w="3336" w:type="dxa"/>
            <w:tcBorders>
              <w:top w:val="nil"/>
              <w:left w:val="single" w:sz="8" w:space="0" w:color="auto"/>
              <w:bottom w:val="nil"/>
            </w:tcBorders>
            <w:shd w:val="clear" w:color="auto" w:fill="auto"/>
            <w:hideMark/>
          </w:tcPr>
          <w:p w:rsidR="008E583B" w:rsidRPr="00926C90" w:rsidRDefault="008E583B" w:rsidP="002F26E1">
            <w:pPr>
              <w:spacing w:after="0" w:line="240" w:lineRule="auto"/>
              <w:rPr>
                <w:rFonts w:eastAsia="Times New Roman" w:cs="Times New Roman"/>
                <w:b/>
                <w:bCs/>
                <w:color w:val="365F91"/>
                <w:sz w:val="18"/>
                <w:szCs w:val="18"/>
                <w:lang w:eastAsia="fr-FR"/>
              </w:rPr>
            </w:pPr>
            <w:r w:rsidRPr="00926C90">
              <w:rPr>
                <w:rFonts w:eastAsia="Times New Roman" w:cs="Times New Roman"/>
                <w:b/>
                <w:bCs/>
                <w:color w:val="365F91"/>
                <w:sz w:val="18"/>
                <w:szCs w:val="18"/>
                <w:lang w:eastAsia="fr-FR"/>
              </w:rPr>
              <w:t>Salariés  Permanents</w:t>
            </w:r>
          </w:p>
        </w:tc>
        <w:tc>
          <w:tcPr>
            <w:tcW w:w="864"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3 878</w:t>
            </w:r>
          </w:p>
        </w:tc>
        <w:tc>
          <w:tcPr>
            <w:tcW w:w="72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3 640</w:t>
            </w:r>
          </w:p>
        </w:tc>
        <w:tc>
          <w:tcPr>
            <w:tcW w:w="84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4 542</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4 176</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4 188</w:t>
            </w:r>
          </w:p>
        </w:tc>
        <w:tc>
          <w:tcPr>
            <w:tcW w:w="1332" w:type="dxa"/>
            <w:gridSpan w:val="2"/>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4 184</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right"/>
              <w:rPr>
                <w:rFonts w:eastAsia="Times New Roman" w:cs="Times New Roman"/>
                <w:color w:val="365F91"/>
                <w:sz w:val="18"/>
                <w:szCs w:val="18"/>
                <w:lang w:eastAsia="fr-FR"/>
              </w:rPr>
            </w:pPr>
            <w:r w:rsidRPr="00926C90">
              <w:rPr>
                <w:rFonts w:eastAsia="Times New Roman" w:cs="Times New Roman"/>
                <w:color w:val="365F91"/>
                <w:sz w:val="18"/>
                <w:szCs w:val="18"/>
                <w:lang w:eastAsia="fr-FR"/>
              </w:rPr>
              <w:t>4454</w:t>
            </w:r>
          </w:p>
        </w:tc>
      </w:tr>
      <w:tr w:rsidR="008E583B" w:rsidRPr="008E0A90" w:rsidTr="008E583B">
        <w:trPr>
          <w:trHeight w:hRule="exact" w:val="284"/>
        </w:trPr>
        <w:tc>
          <w:tcPr>
            <w:tcW w:w="3336" w:type="dxa"/>
            <w:tcBorders>
              <w:top w:val="nil"/>
              <w:left w:val="single" w:sz="8" w:space="0" w:color="auto"/>
              <w:bottom w:val="nil"/>
            </w:tcBorders>
            <w:shd w:val="clear" w:color="000000" w:fill="D3DFEE"/>
            <w:hideMark/>
          </w:tcPr>
          <w:p w:rsidR="008E583B" w:rsidRPr="00926C90" w:rsidRDefault="008E583B" w:rsidP="002F26E1">
            <w:pPr>
              <w:spacing w:after="0" w:line="240" w:lineRule="auto"/>
              <w:rPr>
                <w:rFonts w:eastAsia="Times New Roman" w:cs="Times New Roman"/>
                <w:b/>
                <w:bCs/>
                <w:color w:val="365F91"/>
                <w:sz w:val="18"/>
                <w:szCs w:val="18"/>
                <w:lang w:eastAsia="fr-FR"/>
              </w:rPr>
            </w:pPr>
            <w:r w:rsidRPr="00926C90">
              <w:rPr>
                <w:rFonts w:eastAsia="Times New Roman" w:cs="Times New Roman"/>
                <w:b/>
                <w:bCs/>
                <w:color w:val="365F91"/>
                <w:sz w:val="18"/>
                <w:szCs w:val="18"/>
                <w:lang w:eastAsia="fr-FR"/>
              </w:rPr>
              <w:t xml:space="preserve">Salariés non perm &amp; apprentis </w:t>
            </w:r>
          </w:p>
        </w:tc>
        <w:tc>
          <w:tcPr>
            <w:tcW w:w="864"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3 562</w:t>
            </w:r>
          </w:p>
        </w:tc>
        <w:tc>
          <w:tcPr>
            <w:tcW w:w="72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3 623</w:t>
            </w:r>
          </w:p>
        </w:tc>
        <w:tc>
          <w:tcPr>
            <w:tcW w:w="84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2 855</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3 382</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3 225</w:t>
            </w:r>
          </w:p>
        </w:tc>
        <w:tc>
          <w:tcPr>
            <w:tcW w:w="1332" w:type="dxa"/>
            <w:gridSpan w:val="2"/>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3 223</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right"/>
              <w:rPr>
                <w:rFonts w:eastAsia="Times New Roman" w:cs="Times New Roman"/>
                <w:color w:val="365F91"/>
                <w:sz w:val="18"/>
                <w:szCs w:val="18"/>
                <w:lang w:eastAsia="fr-FR"/>
              </w:rPr>
            </w:pPr>
            <w:r w:rsidRPr="00926C90">
              <w:rPr>
                <w:rFonts w:eastAsia="Times New Roman" w:cs="Times New Roman"/>
                <w:color w:val="365F91"/>
                <w:sz w:val="18"/>
                <w:szCs w:val="18"/>
                <w:lang w:eastAsia="fr-FR"/>
              </w:rPr>
              <w:t>3174</w:t>
            </w:r>
          </w:p>
        </w:tc>
      </w:tr>
      <w:tr w:rsidR="008E583B" w:rsidRPr="008E0A90" w:rsidTr="008E583B">
        <w:trPr>
          <w:trHeight w:hRule="exact" w:val="284"/>
        </w:trPr>
        <w:tc>
          <w:tcPr>
            <w:tcW w:w="3336" w:type="dxa"/>
            <w:tcBorders>
              <w:top w:val="nil"/>
              <w:left w:val="single" w:sz="8" w:space="0" w:color="auto"/>
              <w:bottom w:val="nil"/>
            </w:tcBorders>
            <w:shd w:val="clear" w:color="auto" w:fill="auto"/>
            <w:hideMark/>
          </w:tcPr>
          <w:p w:rsidR="008E583B" w:rsidRPr="00926C90" w:rsidRDefault="008E583B" w:rsidP="002F26E1">
            <w:pPr>
              <w:spacing w:after="0" w:line="240" w:lineRule="auto"/>
              <w:rPr>
                <w:rFonts w:eastAsia="Times New Roman" w:cs="Times New Roman"/>
                <w:b/>
                <w:bCs/>
                <w:color w:val="365F91"/>
                <w:sz w:val="18"/>
                <w:szCs w:val="18"/>
                <w:lang w:eastAsia="fr-FR"/>
              </w:rPr>
            </w:pPr>
            <w:r w:rsidRPr="00926C90">
              <w:rPr>
                <w:rFonts w:eastAsia="Times New Roman" w:cs="Times New Roman"/>
                <w:b/>
                <w:bCs/>
                <w:color w:val="365F91"/>
                <w:sz w:val="18"/>
                <w:szCs w:val="18"/>
                <w:lang w:eastAsia="fr-FR"/>
              </w:rPr>
              <w:t>Aides Familiaux</w:t>
            </w:r>
          </w:p>
        </w:tc>
        <w:tc>
          <w:tcPr>
            <w:tcW w:w="864"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231</w:t>
            </w:r>
          </w:p>
        </w:tc>
        <w:tc>
          <w:tcPr>
            <w:tcW w:w="72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165</w:t>
            </w:r>
          </w:p>
        </w:tc>
        <w:tc>
          <w:tcPr>
            <w:tcW w:w="84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155</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154</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209</w:t>
            </w:r>
          </w:p>
        </w:tc>
        <w:tc>
          <w:tcPr>
            <w:tcW w:w="1332" w:type="dxa"/>
            <w:gridSpan w:val="2"/>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212</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right"/>
              <w:rPr>
                <w:rFonts w:eastAsia="Times New Roman" w:cs="Times New Roman"/>
                <w:color w:val="365F91"/>
                <w:sz w:val="18"/>
                <w:szCs w:val="18"/>
                <w:lang w:eastAsia="fr-FR"/>
              </w:rPr>
            </w:pPr>
            <w:r w:rsidRPr="00926C90">
              <w:rPr>
                <w:rFonts w:eastAsia="Times New Roman" w:cs="Times New Roman"/>
                <w:color w:val="365F91"/>
                <w:sz w:val="18"/>
                <w:szCs w:val="18"/>
                <w:lang w:eastAsia="fr-FR"/>
              </w:rPr>
              <w:t>180</w:t>
            </w:r>
          </w:p>
        </w:tc>
      </w:tr>
      <w:tr w:rsidR="008E583B" w:rsidRPr="008E0A90" w:rsidTr="008E583B">
        <w:trPr>
          <w:trHeight w:hRule="exact" w:val="284"/>
        </w:trPr>
        <w:tc>
          <w:tcPr>
            <w:tcW w:w="9587" w:type="dxa"/>
            <w:gridSpan w:val="9"/>
            <w:tcBorders>
              <w:top w:val="nil"/>
              <w:left w:val="single" w:sz="8" w:space="0" w:color="auto"/>
              <w:bottom w:val="nil"/>
              <w:right w:val="single" w:sz="8" w:space="0" w:color="auto"/>
            </w:tcBorders>
            <w:shd w:val="clear" w:color="auto" w:fill="F7CAAC"/>
            <w:hideMark/>
          </w:tcPr>
          <w:p w:rsidR="008E583B" w:rsidRPr="00926C90" w:rsidRDefault="008E583B" w:rsidP="002F26E1">
            <w:pPr>
              <w:spacing w:after="0" w:line="240" w:lineRule="auto"/>
              <w:jc w:val="center"/>
              <w:rPr>
                <w:rFonts w:eastAsia="Times New Roman" w:cs="Times New Roman"/>
                <w:b/>
                <w:bCs/>
                <w:color w:val="365F91"/>
                <w:sz w:val="18"/>
                <w:szCs w:val="18"/>
                <w:lang w:eastAsia="fr-FR"/>
              </w:rPr>
            </w:pPr>
            <w:r w:rsidRPr="00926C90">
              <w:rPr>
                <w:rFonts w:eastAsia="Times New Roman" w:cs="Times New Roman"/>
                <w:b/>
                <w:bCs/>
                <w:color w:val="365F91"/>
                <w:sz w:val="18"/>
                <w:szCs w:val="18"/>
                <w:lang w:eastAsia="fr-FR"/>
              </w:rPr>
              <w:t>Secteur d'activité</w:t>
            </w:r>
          </w:p>
        </w:tc>
      </w:tr>
      <w:tr w:rsidR="008E583B" w:rsidRPr="008E0A90" w:rsidTr="008E583B">
        <w:trPr>
          <w:trHeight w:hRule="exact" w:val="284"/>
        </w:trPr>
        <w:tc>
          <w:tcPr>
            <w:tcW w:w="3336" w:type="dxa"/>
            <w:tcBorders>
              <w:top w:val="nil"/>
              <w:left w:val="single" w:sz="8" w:space="0" w:color="auto"/>
              <w:bottom w:val="nil"/>
            </w:tcBorders>
            <w:shd w:val="clear" w:color="auto" w:fill="auto"/>
            <w:hideMark/>
          </w:tcPr>
          <w:p w:rsidR="008E583B" w:rsidRPr="00926C90" w:rsidRDefault="008E583B" w:rsidP="002F26E1">
            <w:pPr>
              <w:spacing w:after="0" w:line="240" w:lineRule="auto"/>
              <w:rPr>
                <w:rFonts w:eastAsia="Times New Roman" w:cs="Times New Roman"/>
                <w:b/>
                <w:bCs/>
                <w:color w:val="365F91"/>
                <w:sz w:val="18"/>
                <w:szCs w:val="18"/>
                <w:lang w:eastAsia="fr-FR"/>
              </w:rPr>
            </w:pPr>
            <w:r w:rsidRPr="00926C90">
              <w:rPr>
                <w:rFonts w:eastAsia="Times New Roman" w:cs="Times New Roman"/>
                <w:b/>
                <w:bCs/>
                <w:color w:val="365F91"/>
                <w:sz w:val="18"/>
                <w:szCs w:val="18"/>
                <w:lang w:eastAsia="fr-FR"/>
              </w:rPr>
              <w:t>Agriculture</w:t>
            </w:r>
          </w:p>
        </w:tc>
        <w:tc>
          <w:tcPr>
            <w:tcW w:w="864"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1 141</w:t>
            </w:r>
          </w:p>
        </w:tc>
        <w:tc>
          <w:tcPr>
            <w:tcW w:w="72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899</w:t>
            </w:r>
          </w:p>
        </w:tc>
        <w:tc>
          <w:tcPr>
            <w:tcW w:w="84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917</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865</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1 102</w:t>
            </w:r>
          </w:p>
        </w:tc>
        <w:tc>
          <w:tcPr>
            <w:tcW w:w="1332" w:type="dxa"/>
            <w:gridSpan w:val="2"/>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1 067</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1 083</w:t>
            </w:r>
          </w:p>
        </w:tc>
      </w:tr>
      <w:tr w:rsidR="008E583B" w:rsidRPr="008E0A90" w:rsidTr="008E583B">
        <w:trPr>
          <w:trHeight w:hRule="exact" w:val="284"/>
        </w:trPr>
        <w:tc>
          <w:tcPr>
            <w:tcW w:w="3336" w:type="dxa"/>
            <w:tcBorders>
              <w:top w:val="nil"/>
              <w:left w:val="single" w:sz="8" w:space="0" w:color="auto"/>
              <w:bottom w:val="nil"/>
            </w:tcBorders>
            <w:shd w:val="clear" w:color="000000" w:fill="D3DFEE"/>
            <w:hideMark/>
          </w:tcPr>
          <w:p w:rsidR="008E583B" w:rsidRPr="00926C90" w:rsidRDefault="008E583B" w:rsidP="002F26E1">
            <w:pPr>
              <w:spacing w:after="0" w:line="240" w:lineRule="auto"/>
              <w:rPr>
                <w:rFonts w:eastAsia="Times New Roman" w:cs="Times New Roman"/>
                <w:b/>
                <w:bCs/>
                <w:color w:val="365F91"/>
                <w:sz w:val="18"/>
                <w:szCs w:val="18"/>
                <w:lang w:eastAsia="fr-FR"/>
              </w:rPr>
            </w:pPr>
            <w:r w:rsidRPr="00926C90">
              <w:rPr>
                <w:rFonts w:eastAsia="Times New Roman" w:cs="Times New Roman"/>
                <w:b/>
                <w:bCs/>
                <w:color w:val="365F91"/>
                <w:sz w:val="18"/>
                <w:szCs w:val="18"/>
                <w:lang w:eastAsia="fr-FR"/>
              </w:rPr>
              <w:t>Industrie</w:t>
            </w:r>
          </w:p>
        </w:tc>
        <w:tc>
          <w:tcPr>
            <w:tcW w:w="864"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1 407</w:t>
            </w:r>
          </w:p>
        </w:tc>
        <w:tc>
          <w:tcPr>
            <w:tcW w:w="72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1 290</w:t>
            </w:r>
          </w:p>
        </w:tc>
        <w:tc>
          <w:tcPr>
            <w:tcW w:w="84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1 377</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1 465</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1 493</w:t>
            </w:r>
          </w:p>
        </w:tc>
        <w:tc>
          <w:tcPr>
            <w:tcW w:w="1332" w:type="dxa"/>
            <w:gridSpan w:val="2"/>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1 434</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1 450</w:t>
            </w:r>
          </w:p>
        </w:tc>
      </w:tr>
      <w:tr w:rsidR="008E583B" w:rsidRPr="008E0A90" w:rsidTr="008E583B">
        <w:trPr>
          <w:trHeight w:hRule="exact" w:val="284"/>
        </w:trPr>
        <w:tc>
          <w:tcPr>
            <w:tcW w:w="3336" w:type="dxa"/>
            <w:tcBorders>
              <w:top w:val="nil"/>
              <w:left w:val="single" w:sz="8" w:space="0" w:color="auto"/>
              <w:bottom w:val="nil"/>
            </w:tcBorders>
            <w:shd w:val="clear" w:color="auto" w:fill="auto"/>
            <w:hideMark/>
          </w:tcPr>
          <w:p w:rsidR="008E583B" w:rsidRPr="00926C90" w:rsidRDefault="008E583B" w:rsidP="002F26E1">
            <w:pPr>
              <w:spacing w:after="0" w:line="240" w:lineRule="auto"/>
              <w:rPr>
                <w:rFonts w:eastAsia="Times New Roman" w:cs="Times New Roman"/>
                <w:b/>
                <w:bCs/>
                <w:color w:val="365F91"/>
                <w:sz w:val="18"/>
                <w:szCs w:val="18"/>
                <w:lang w:eastAsia="fr-FR"/>
              </w:rPr>
            </w:pPr>
            <w:r w:rsidRPr="00926C90">
              <w:rPr>
                <w:rFonts w:eastAsia="Times New Roman" w:cs="Times New Roman"/>
                <w:b/>
                <w:bCs/>
                <w:color w:val="365F91"/>
                <w:sz w:val="18"/>
                <w:szCs w:val="18"/>
                <w:lang w:eastAsia="fr-FR"/>
              </w:rPr>
              <w:t>B.T.P</w:t>
            </w:r>
          </w:p>
        </w:tc>
        <w:tc>
          <w:tcPr>
            <w:tcW w:w="864"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1 791</w:t>
            </w:r>
          </w:p>
        </w:tc>
        <w:tc>
          <w:tcPr>
            <w:tcW w:w="72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1 826</w:t>
            </w:r>
          </w:p>
        </w:tc>
        <w:tc>
          <w:tcPr>
            <w:tcW w:w="84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1 776</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1 8 95</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1 847</w:t>
            </w:r>
          </w:p>
        </w:tc>
        <w:tc>
          <w:tcPr>
            <w:tcW w:w="1332" w:type="dxa"/>
            <w:gridSpan w:val="2"/>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1 774</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1 890</w:t>
            </w:r>
          </w:p>
        </w:tc>
      </w:tr>
      <w:tr w:rsidR="008E583B" w:rsidRPr="008E0A90" w:rsidTr="008E583B">
        <w:trPr>
          <w:trHeight w:hRule="exact" w:val="284"/>
        </w:trPr>
        <w:tc>
          <w:tcPr>
            <w:tcW w:w="3336" w:type="dxa"/>
            <w:tcBorders>
              <w:top w:val="nil"/>
              <w:left w:val="single" w:sz="8" w:space="0" w:color="auto"/>
              <w:bottom w:val="nil"/>
            </w:tcBorders>
            <w:shd w:val="clear" w:color="000000" w:fill="D3DFEE"/>
            <w:hideMark/>
          </w:tcPr>
          <w:p w:rsidR="008E583B" w:rsidRPr="00926C90" w:rsidRDefault="008E583B" w:rsidP="002F26E1">
            <w:pPr>
              <w:spacing w:after="0" w:line="240" w:lineRule="auto"/>
              <w:rPr>
                <w:rFonts w:eastAsia="Times New Roman" w:cs="Times New Roman"/>
                <w:b/>
                <w:bCs/>
                <w:color w:val="365F91"/>
                <w:sz w:val="18"/>
                <w:szCs w:val="18"/>
                <w:lang w:eastAsia="fr-FR"/>
              </w:rPr>
            </w:pPr>
            <w:r w:rsidRPr="00926C90">
              <w:rPr>
                <w:rFonts w:eastAsia="Times New Roman" w:cs="Times New Roman"/>
                <w:b/>
                <w:bCs/>
                <w:color w:val="365F91"/>
                <w:sz w:val="18"/>
                <w:szCs w:val="18"/>
                <w:lang w:eastAsia="fr-FR"/>
              </w:rPr>
              <w:t>Services</w:t>
            </w:r>
          </w:p>
        </w:tc>
        <w:tc>
          <w:tcPr>
            <w:tcW w:w="864"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6 449</w:t>
            </w:r>
          </w:p>
        </w:tc>
        <w:tc>
          <w:tcPr>
            <w:tcW w:w="72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6 224</w:t>
            </w:r>
          </w:p>
        </w:tc>
        <w:tc>
          <w:tcPr>
            <w:tcW w:w="84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6 524</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6 620</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6 417</w:t>
            </w:r>
          </w:p>
        </w:tc>
        <w:tc>
          <w:tcPr>
            <w:tcW w:w="1332" w:type="dxa"/>
            <w:gridSpan w:val="2"/>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6 726</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6 857</w:t>
            </w:r>
          </w:p>
        </w:tc>
      </w:tr>
      <w:tr w:rsidR="008E583B" w:rsidRPr="008E0A90" w:rsidTr="008E583B">
        <w:trPr>
          <w:trHeight w:hRule="exact" w:val="284"/>
        </w:trPr>
        <w:tc>
          <w:tcPr>
            <w:tcW w:w="9587" w:type="dxa"/>
            <w:gridSpan w:val="9"/>
            <w:tcBorders>
              <w:top w:val="nil"/>
              <w:left w:val="single" w:sz="8" w:space="0" w:color="auto"/>
              <w:bottom w:val="nil"/>
              <w:right w:val="single" w:sz="8" w:space="0" w:color="auto"/>
            </w:tcBorders>
            <w:shd w:val="clear" w:color="auto" w:fill="F7CAAC"/>
            <w:hideMark/>
          </w:tcPr>
          <w:p w:rsidR="008E583B" w:rsidRPr="00926C90" w:rsidRDefault="008E583B" w:rsidP="002F26E1">
            <w:pPr>
              <w:spacing w:after="0" w:line="240" w:lineRule="auto"/>
              <w:jc w:val="center"/>
              <w:rPr>
                <w:rFonts w:eastAsia="Times New Roman" w:cs="Times New Roman"/>
                <w:b/>
                <w:bCs/>
                <w:color w:val="365F91"/>
                <w:sz w:val="18"/>
                <w:szCs w:val="18"/>
                <w:lang w:eastAsia="fr-FR"/>
              </w:rPr>
            </w:pPr>
            <w:r w:rsidRPr="00926C90">
              <w:rPr>
                <w:rFonts w:eastAsia="Times New Roman" w:cs="Times New Roman"/>
                <w:b/>
                <w:bCs/>
                <w:color w:val="365F91"/>
                <w:sz w:val="18"/>
                <w:szCs w:val="18"/>
                <w:lang w:eastAsia="fr-FR"/>
              </w:rPr>
              <w:t>Secteur juridique</w:t>
            </w:r>
          </w:p>
        </w:tc>
      </w:tr>
      <w:tr w:rsidR="008E583B" w:rsidRPr="008E0A90" w:rsidTr="008E583B">
        <w:trPr>
          <w:trHeight w:hRule="exact" w:val="284"/>
        </w:trPr>
        <w:tc>
          <w:tcPr>
            <w:tcW w:w="3336" w:type="dxa"/>
            <w:tcBorders>
              <w:top w:val="nil"/>
              <w:left w:val="single" w:sz="8" w:space="0" w:color="auto"/>
              <w:bottom w:val="nil"/>
            </w:tcBorders>
            <w:shd w:val="clear" w:color="000000" w:fill="D3DFEE"/>
            <w:hideMark/>
          </w:tcPr>
          <w:p w:rsidR="008E583B" w:rsidRPr="00926C90" w:rsidRDefault="008E583B" w:rsidP="002F26E1">
            <w:pPr>
              <w:spacing w:after="0" w:line="240" w:lineRule="auto"/>
              <w:rPr>
                <w:rFonts w:eastAsia="Times New Roman" w:cs="Times New Roman"/>
                <w:b/>
                <w:bCs/>
                <w:color w:val="365F91"/>
                <w:sz w:val="18"/>
                <w:szCs w:val="18"/>
                <w:lang w:eastAsia="fr-FR"/>
              </w:rPr>
            </w:pPr>
            <w:r w:rsidRPr="00926C90">
              <w:rPr>
                <w:rFonts w:eastAsia="Times New Roman" w:cs="Times New Roman"/>
                <w:b/>
                <w:bCs/>
                <w:color w:val="365F91"/>
                <w:sz w:val="18"/>
                <w:szCs w:val="18"/>
                <w:lang w:eastAsia="fr-FR"/>
              </w:rPr>
              <w:t>Public</w:t>
            </w:r>
          </w:p>
        </w:tc>
        <w:tc>
          <w:tcPr>
            <w:tcW w:w="864"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4 440</w:t>
            </w:r>
          </w:p>
        </w:tc>
        <w:tc>
          <w:tcPr>
            <w:tcW w:w="72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4 100</w:t>
            </w:r>
          </w:p>
        </w:tc>
        <w:tc>
          <w:tcPr>
            <w:tcW w:w="840" w:type="dxa"/>
            <w:tcBorders>
              <w:top w:val="nil"/>
              <w:bottom w:val="nil"/>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4 455</w:t>
            </w:r>
          </w:p>
        </w:tc>
        <w:tc>
          <w:tcPr>
            <w:tcW w:w="992"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4 355</w:t>
            </w:r>
          </w:p>
        </w:tc>
        <w:tc>
          <w:tcPr>
            <w:tcW w:w="993" w:type="dxa"/>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4 001</w:t>
            </w:r>
          </w:p>
        </w:tc>
        <w:tc>
          <w:tcPr>
            <w:tcW w:w="1332" w:type="dxa"/>
            <w:gridSpan w:val="2"/>
            <w:tcBorders>
              <w:top w:val="nil"/>
              <w:bottom w:val="nil"/>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4 090</w:t>
            </w:r>
          </w:p>
        </w:tc>
        <w:tc>
          <w:tcPr>
            <w:tcW w:w="510" w:type="dxa"/>
            <w:tcBorders>
              <w:top w:val="nil"/>
              <w:bottom w:val="nil"/>
              <w:right w:val="single" w:sz="8" w:space="0" w:color="auto"/>
            </w:tcBorders>
            <w:shd w:val="clear" w:color="auto" w:fill="F7CAAC"/>
            <w:vAlign w:val="bottom"/>
            <w:hideMark/>
          </w:tcPr>
          <w:p w:rsidR="008E583B" w:rsidRPr="00926C90" w:rsidRDefault="008E583B" w:rsidP="002F26E1">
            <w:pPr>
              <w:spacing w:after="0" w:line="240" w:lineRule="auto"/>
              <w:jc w:val="right"/>
              <w:rPr>
                <w:rFonts w:eastAsia="Times New Roman" w:cs="Times New Roman"/>
                <w:color w:val="365F91"/>
                <w:sz w:val="18"/>
                <w:szCs w:val="18"/>
                <w:lang w:eastAsia="fr-FR"/>
              </w:rPr>
            </w:pPr>
            <w:r w:rsidRPr="00926C90">
              <w:rPr>
                <w:rFonts w:eastAsia="Times New Roman" w:cs="Times New Roman"/>
                <w:color w:val="365F91"/>
                <w:sz w:val="18"/>
                <w:szCs w:val="18"/>
                <w:lang w:eastAsia="fr-FR"/>
              </w:rPr>
              <w:t>4267</w:t>
            </w:r>
          </w:p>
        </w:tc>
      </w:tr>
      <w:tr w:rsidR="008E583B" w:rsidRPr="008E0A90" w:rsidTr="008E583B">
        <w:trPr>
          <w:trHeight w:hRule="exact" w:val="284"/>
        </w:trPr>
        <w:tc>
          <w:tcPr>
            <w:tcW w:w="3336" w:type="dxa"/>
            <w:tcBorders>
              <w:top w:val="nil"/>
              <w:left w:val="single" w:sz="8" w:space="0" w:color="auto"/>
              <w:bottom w:val="single" w:sz="8" w:space="0" w:color="auto"/>
            </w:tcBorders>
            <w:shd w:val="clear" w:color="auto" w:fill="auto"/>
            <w:hideMark/>
          </w:tcPr>
          <w:p w:rsidR="008E583B" w:rsidRPr="00926C90" w:rsidRDefault="008E583B" w:rsidP="002F26E1">
            <w:pPr>
              <w:spacing w:after="0" w:line="240" w:lineRule="auto"/>
              <w:rPr>
                <w:rFonts w:eastAsia="Times New Roman" w:cs="Times New Roman"/>
                <w:b/>
                <w:bCs/>
                <w:color w:val="365F91"/>
                <w:sz w:val="18"/>
                <w:szCs w:val="18"/>
                <w:lang w:eastAsia="fr-FR"/>
              </w:rPr>
            </w:pPr>
            <w:r w:rsidRPr="00926C90">
              <w:rPr>
                <w:rFonts w:eastAsia="Times New Roman" w:cs="Times New Roman"/>
                <w:b/>
                <w:bCs/>
                <w:color w:val="365F91"/>
                <w:sz w:val="18"/>
                <w:szCs w:val="18"/>
                <w:lang w:eastAsia="fr-FR"/>
              </w:rPr>
              <w:t>Privé</w:t>
            </w:r>
          </w:p>
        </w:tc>
        <w:tc>
          <w:tcPr>
            <w:tcW w:w="864" w:type="dxa"/>
            <w:tcBorders>
              <w:top w:val="nil"/>
              <w:bottom w:val="single" w:sz="8" w:space="0" w:color="auto"/>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6 349</w:t>
            </w:r>
          </w:p>
        </w:tc>
        <w:tc>
          <w:tcPr>
            <w:tcW w:w="720" w:type="dxa"/>
            <w:tcBorders>
              <w:top w:val="nil"/>
              <w:bottom w:val="single" w:sz="8" w:space="0" w:color="auto"/>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6 139</w:t>
            </w:r>
          </w:p>
        </w:tc>
        <w:tc>
          <w:tcPr>
            <w:tcW w:w="840" w:type="dxa"/>
            <w:tcBorders>
              <w:top w:val="nil"/>
              <w:bottom w:val="single" w:sz="8" w:space="0" w:color="auto"/>
            </w:tcBorders>
            <w:shd w:val="clear" w:color="auto" w:fill="F7CAAC"/>
            <w:noWrap/>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6 139</w:t>
            </w:r>
          </w:p>
        </w:tc>
        <w:tc>
          <w:tcPr>
            <w:tcW w:w="992" w:type="dxa"/>
            <w:tcBorders>
              <w:top w:val="nil"/>
              <w:bottom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6 490</w:t>
            </w:r>
          </w:p>
        </w:tc>
        <w:tc>
          <w:tcPr>
            <w:tcW w:w="993" w:type="dxa"/>
            <w:tcBorders>
              <w:top w:val="nil"/>
              <w:bottom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6 857</w:t>
            </w:r>
          </w:p>
        </w:tc>
        <w:tc>
          <w:tcPr>
            <w:tcW w:w="1332" w:type="dxa"/>
            <w:gridSpan w:val="2"/>
            <w:tcBorders>
              <w:top w:val="nil"/>
              <w:bottom w:val="single" w:sz="8" w:space="0" w:color="auto"/>
            </w:tcBorders>
            <w:shd w:val="clear" w:color="auto" w:fill="F7CAAC"/>
            <w:vAlign w:val="bottom"/>
            <w:hideMark/>
          </w:tcPr>
          <w:p w:rsidR="008E583B" w:rsidRPr="00926C90" w:rsidRDefault="008E583B" w:rsidP="002F26E1">
            <w:pPr>
              <w:spacing w:after="0" w:line="240" w:lineRule="auto"/>
              <w:jc w:val="center"/>
              <w:rPr>
                <w:rFonts w:eastAsia="Times New Roman" w:cs="Times New Roman"/>
                <w:color w:val="365F91"/>
                <w:sz w:val="18"/>
                <w:szCs w:val="18"/>
                <w:lang w:eastAsia="fr-FR"/>
              </w:rPr>
            </w:pPr>
            <w:r w:rsidRPr="00926C90">
              <w:rPr>
                <w:rFonts w:eastAsia="Times New Roman" w:cs="Times New Roman"/>
                <w:color w:val="365F91"/>
                <w:sz w:val="18"/>
                <w:szCs w:val="18"/>
                <w:lang w:eastAsia="fr-FR"/>
              </w:rPr>
              <w:t>6911</w:t>
            </w:r>
          </w:p>
        </w:tc>
        <w:tc>
          <w:tcPr>
            <w:tcW w:w="510" w:type="dxa"/>
            <w:tcBorders>
              <w:top w:val="nil"/>
              <w:bottom w:val="single" w:sz="8" w:space="0" w:color="auto"/>
              <w:right w:val="single" w:sz="8" w:space="0" w:color="auto"/>
            </w:tcBorders>
            <w:shd w:val="clear" w:color="auto" w:fill="F7CAAC"/>
            <w:vAlign w:val="bottom"/>
            <w:hideMark/>
          </w:tcPr>
          <w:p w:rsidR="008E583B" w:rsidRPr="00926C90" w:rsidRDefault="008E583B" w:rsidP="002F26E1">
            <w:pPr>
              <w:spacing w:after="0" w:line="240" w:lineRule="auto"/>
              <w:jc w:val="right"/>
              <w:rPr>
                <w:rFonts w:eastAsia="Times New Roman" w:cs="Times New Roman"/>
                <w:color w:val="365F91"/>
                <w:sz w:val="18"/>
                <w:szCs w:val="18"/>
                <w:lang w:eastAsia="fr-FR"/>
              </w:rPr>
            </w:pPr>
            <w:r w:rsidRPr="00926C90">
              <w:rPr>
                <w:rFonts w:eastAsia="Times New Roman" w:cs="Times New Roman"/>
                <w:color w:val="365F91"/>
                <w:sz w:val="18"/>
                <w:szCs w:val="18"/>
                <w:lang w:eastAsia="fr-FR"/>
              </w:rPr>
              <w:t>7014</w:t>
            </w:r>
          </w:p>
        </w:tc>
      </w:tr>
    </w:tbl>
    <w:p w:rsidR="008E583B" w:rsidRDefault="008E583B" w:rsidP="008E583B">
      <w:pPr>
        <w:jc w:val="both"/>
        <w:rPr>
          <w:sz w:val="20"/>
          <w:szCs w:val="20"/>
        </w:rPr>
      </w:pPr>
      <w:r w:rsidRPr="00284029">
        <w:rPr>
          <w:sz w:val="20"/>
          <w:szCs w:val="20"/>
        </w:rPr>
        <w:t>Source : Office National des Statistiques (ONS).</w:t>
      </w:r>
    </w:p>
    <w:p w:rsidR="008356A3" w:rsidRPr="008E0A90" w:rsidRDefault="008356A3" w:rsidP="008A6DB2">
      <w:pPr>
        <w:jc w:val="both"/>
        <w:rPr>
          <w:rFonts w:cs="Calibri"/>
          <w:sz w:val="24"/>
          <w:szCs w:val="24"/>
        </w:rPr>
      </w:pPr>
    </w:p>
    <w:p w:rsidR="008356A3" w:rsidRPr="008E0A90" w:rsidRDefault="008356A3" w:rsidP="008A6DB2">
      <w:pPr>
        <w:jc w:val="both"/>
        <w:rPr>
          <w:rFonts w:cs="Calibri"/>
          <w:sz w:val="24"/>
          <w:szCs w:val="24"/>
        </w:rPr>
      </w:pPr>
    </w:p>
    <w:p w:rsidR="002479ED" w:rsidRPr="008E0A90" w:rsidRDefault="002479ED" w:rsidP="008A6DB2">
      <w:pPr>
        <w:jc w:val="both"/>
        <w:rPr>
          <w:rFonts w:cs="Calibri"/>
          <w:sz w:val="24"/>
          <w:szCs w:val="24"/>
        </w:rPr>
      </w:pPr>
    </w:p>
    <w:p w:rsidR="002479ED" w:rsidRPr="008E0A90" w:rsidRDefault="002479ED" w:rsidP="008A6DB2">
      <w:pPr>
        <w:jc w:val="both"/>
        <w:rPr>
          <w:rFonts w:cs="Calibri"/>
          <w:sz w:val="24"/>
          <w:szCs w:val="24"/>
        </w:rPr>
      </w:pPr>
    </w:p>
    <w:sectPr w:rsidR="002479ED" w:rsidRPr="008E0A90" w:rsidSect="008E583B">
      <w:type w:val="continuous"/>
      <w:pgSz w:w="11906" w:h="16838"/>
      <w:pgMar w:top="1417" w:right="1417" w:bottom="1417" w:left="1417"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DC1" w:rsidRDefault="00936DC1" w:rsidP="00EC4CCC">
      <w:pPr>
        <w:spacing w:after="0" w:line="240" w:lineRule="auto"/>
      </w:pPr>
      <w:r>
        <w:separator/>
      </w:r>
    </w:p>
  </w:endnote>
  <w:endnote w:type="continuationSeparator" w:id="0">
    <w:p w:rsidR="00936DC1" w:rsidRDefault="00936DC1" w:rsidP="00EC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20002A87" w:usb1="4000207B" w:usb2="00000000" w:usb3="00000000" w:csb0="000001FF" w:csb1="00000000"/>
  </w:font>
  <w:font w:name="Lato-Regular">
    <w:panose1 w:val="00000000000000000000"/>
    <w:charset w:val="00"/>
    <w:family w:val="auto"/>
    <w:notTrueType/>
    <w:pitch w:val="default"/>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1B3" w:rsidRDefault="00936DC1">
    <w:pPr>
      <w:pStyle w:val="Footer"/>
      <w:jc w:val="center"/>
    </w:pPr>
    <w:r>
      <w:fldChar w:fldCharType="begin"/>
    </w:r>
    <w:r>
      <w:instrText xml:space="preserve"> PAGE   \* MERGEFORMAT </w:instrText>
    </w:r>
    <w:r>
      <w:fldChar w:fldCharType="separate"/>
    </w:r>
    <w:r w:rsidR="00A721FD">
      <w:rPr>
        <w:noProof/>
      </w:rPr>
      <w:t>42</w:t>
    </w:r>
    <w:r>
      <w:rPr>
        <w:noProof/>
      </w:rPr>
      <w:fldChar w:fldCharType="end"/>
    </w:r>
  </w:p>
  <w:p w:rsidR="00293032" w:rsidRDefault="00293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DC1" w:rsidRDefault="00936DC1" w:rsidP="00EC4CCC">
      <w:pPr>
        <w:spacing w:after="0" w:line="240" w:lineRule="auto"/>
      </w:pPr>
      <w:r>
        <w:separator/>
      </w:r>
    </w:p>
  </w:footnote>
  <w:footnote w:type="continuationSeparator" w:id="0">
    <w:p w:rsidR="00936DC1" w:rsidRDefault="00936DC1" w:rsidP="00EC4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86D"/>
    <w:multiLevelType w:val="hybridMultilevel"/>
    <w:tmpl w:val="D08E823A"/>
    <w:lvl w:ilvl="0" w:tplc="03F05D9C">
      <w:start w:val="1"/>
      <w:numFmt w:val="bullet"/>
      <w:lvlText w:val="-"/>
      <w:lvlJc w:val="left"/>
      <w:pPr>
        <w:ind w:left="1211" w:hanging="360"/>
      </w:pPr>
      <w:rPr>
        <w:rFonts w:ascii="Times New Roman" w:hAnsi="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09DA325C"/>
    <w:multiLevelType w:val="hybridMultilevel"/>
    <w:tmpl w:val="726E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221E9"/>
    <w:multiLevelType w:val="hybridMultilevel"/>
    <w:tmpl w:val="249E3E64"/>
    <w:lvl w:ilvl="0" w:tplc="03F05D9C">
      <w:start w:val="1"/>
      <w:numFmt w:val="bullet"/>
      <w:lvlText w:val="-"/>
      <w:lvlJc w:val="left"/>
      <w:pPr>
        <w:ind w:left="985" w:hanging="360"/>
      </w:pPr>
      <w:rPr>
        <w:rFonts w:ascii="Times New Roman" w:hAnsi="Times New Roman" w:hint="default"/>
      </w:rPr>
    </w:lvl>
    <w:lvl w:ilvl="1" w:tplc="040C0003" w:tentative="1">
      <w:start w:val="1"/>
      <w:numFmt w:val="bullet"/>
      <w:lvlText w:val="o"/>
      <w:lvlJc w:val="left"/>
      <w:pPr>
        <w:ind w:left="1705" w:hanging="360"/>
      </w:pPr>
      <w:rPr>
        <w:rFonts w:ascii="Courier New" w:hAnsi="Courier New" w:cs="Courier New" w:hint="default"/>
      </w:rPr>
    </w:lvl>
    <w:lvl w:ilvl="2" w:tplc="040C0005" w:tentative="1">
      <w:start w:val="1"/>
      <w:numFmt w:val="bullet"/>
      <w:lvlText w:val=""/>
      <w:lvlJc w:val="left"/>
      <w:pPr>
        <w:ind w:left="2425" w:hanging="360"/>
      </w:pPr>
      <w:rPr>
        <w:rFonts w:ascii="Wingdings" w:hAnsi="Wingdings" w:hint="default"/>
      </w:rPr>
    </w:lvl>
    <w:lvl w:ilvl="3" w:tplc="040C0001" w:tentative="1">
      <w:start w:val="1"/>
      <w:numFmt w:val="bullet"/>
      <w:lvlText w:val=""/>
      <w:lvlJc w:val="left"/>
      <w:pPr>
        <w:ind w:left="3145" w:hanging="360"/>
      </w:pPr>
      <w:rPr>
        <w:rFonts w:ascii="Symbol" w:hAnsi="Symbol" w:hint="default"/>
      </w:rPr>
    </w:lvl>
    <w:lvl w:ilvl="4" w:tplc="040C0003" w:tentative="1">
      <w:start w:val="1"/>
      <w:numFmt w:val="bullet"/>
      <w:lvlText w:val="o"/>
      <w:lvlJc w:val="left"/>
      <w:pPr>
        <w:ind w:left="3865" w:hanging="360"/>
      </w:pPr>
      <w:rPr>
        <w:rFonts w:ascii="Courier New" w:hAnsi="Courier New" w:cs="Courier New" w:hint="default"/>
      </w:rPr>
    </w:lvl>
    <w:lvl w:ilvl="5" w:tplc="040C0005" w:tentative="1">
      <w:start w:val="1"/>
      <w:numFmt w:val="bullet"/>
      <w:lvlText w:val=""/>
      <w:lvlJc w:val="left"/>
      <w:pPr>
        <w:ind w:left="4585" w:hanging="360"/>
      </w:pPr>
      <w:rPr>
        <w:rFonts w:ascii="Wingdings" w:hAnsi="Wingdings" w:hint="default"/>
      </w:rPr>
    </w:lvl>
    <w:lvl w:ilvl="6" w:tplc="040C0001" w:tentative="1">
      <w:start w:val="1"/>
      <w:numFmt w:val="bullet"/>
      <w:lvlText w:val=""/>
      <w:lvlJc w:val="left"/>
      <w:pPr>
        <w:ind w:left="5305" w:hanging="360"/>
      </w:pPr>
      <w:rPr>
        <w:rFonts w:ascii="Symbol" w:hAnsi="Symbol" w:hint="default"/>
      </w:rPr>
    </w:lvl>
    <w:lvl w:ilvl="7" w:tplc="040C0003" w:tentative="1">
      <w:start w:val="1"/>
      <w:numFmt w:val="bullet"/>
      <w:lvlText w:val="o"/>
      <w:lvlJc w:val="left"/>
      <w:pPr>
        <w:ind w:left="6025" w:hanging="360"/>
      </w:pPr>
      <w:rPr>
        <w:rFonts w:ascii="Courier New" w:hAnsi="Courier New" w:cs="Courier New" w:hint="default"/>
      </w:rPr>
    </w:lvl>
    <w:lvl w:ilvl="8" w:tplc="040C0005" w:tentative="1">
      <w:start w:val="1"/>
      <w:numFmt w:val="bullet"/>
      <w:lvlText w:val=""/>
      <w:lvlJc w:val="left"/>
      <w:pPr>
        <w:ind w:left="6745" w:hanging="360"/>
      </w:pPr>
      <w:rPr>
        <w:rFonts w:ascii="Wingdings" w:hAnsi="Wingdings" w:hint="default"/>
      </w:rPr>
    </w:lvl>
  </w:abstractNum>
  <w:abstractNum w:abstractNumId="3" w15:restartNumberingAfterBreak="0">
    <w:nsid w:val="0ECF5A52"/>
    <w:multiLevelType w:val="hybridMultilevel"/>
    <w:tmpl w:val="9874395A"/>
    <w:lvl w:ilvl="0" w:tplc="9D24D3E0">
      <w:start w:val="1"/>
      <w:numFmt w:val="bullet"/>
      <w:lvlText w:val=""/>
      <w:lvlJc w:val="left"/>
      <w:pPr>
        <w:tabs>
          <w:tab w:val="num" w:pos="720"/>
        </w:tabs>
        <w:ind w:left="720" w:hanging="360"/>
      </w:pPr>
      <w:rPr>
        <w:rFonts w:ascii="Wingdings" w:hAnsi="Wingdings" w:hint="default"/>
      </w:rPr>
    </w:lvl>
    <w:lvl w:ilvl="1" w:tplc="FA009018" w:tentative="1">
      <w:start w:val="1"/>
      <w:numFmt w:val="bullet"/>
      <w:lvlText w:val=""/>
      <w:lvlJc w:val="left"/>
      <w:pPr>
        <w:tabs>
          <w:tab w:val="num" w:pos="1440"/>
        </w:tabs>
        <w:ind w:left="1440" w:hanging="360"/>
      </w:pPr>
      <w:rPr>
        <w:rFonts w:ascii="Wingdings" w:hAnsi="Wingdings" w:hint="default"/>
      </w:rPr>
    </w:lvl>
    <w:lvl w:ilvl="2" w:tplc="75604186" w:tentative="1">
      <w:start w:val="1"/>
      <w:numFmt w:val="bullet"/>
      <w:lvlText w:val=""/>
      <w:lvlJc w:val="left"/>
      <w:pPr>
        <w:tabs>
          <w:tab w:val="num" w:pos="2160"/>
        </w:tabs>
        <w:ind w:left="2160" w:hanging="360"/>
      </w:pPr>
      <w:rPr>
        <w:rFonts w:ascii="Wingdings" w:hAnsi="Wingdings" w:hint="default"/>
      </w:rPr>
    </w:lvl>
    <w:lvl w:ilvl="3" w:tplc="419ECB92" w:tentative="1">
      <w:start w:val="1"/>
      <w:numFmt w:val="bullet"/>
      <w:lvlText w:val=""/>
      <w:lvlJc w:val="left"/>
      <w:pPr>
        <w:tabs>
          <w:tab w:val="num" w:pos="2880"/>
        </w:tabs>
        <w:ind w:left="2880" w:hanging="360"/>
      </w:pPr>
      <w:rPr>
        <w:rFonts w:ascii="Wingdings" w:hAnsi="Wingdings" w:hint="default"/>
      </w:rPr>
    </w:lvl>
    <w:lvl w:ilvl="4" w:tplc="3280BA6A" w:tentative="1">
      <w:start w:val="1"/>
      <w:numFmt w:val="bullet"/>
      <w:lvlText w:val=""/>
      <w:lvlJc w:val="left"/>
      <w:pPr>
        <w:tabs>
          <w:tab w:val="num" w:pos="3600"/>
        </w:tabs>
        <w:ind w:left="3600" w:hanging="360"/>
      </w:pPr>
      <w:rPr>
        <w:rFonts w:ascii="Wingdings" w:hAnsi="Wingdings" w:hint="default"/>
      </w:rPr>
    </w:lvl>
    <w:lvl w:ilvl="5" w:tplc="03A63552" w:tentative="1">
      <w:start w:val="1"/>
      <w:numFmt w:val="bullet"/>
      <w:lvlText w:val=""/>
      <w:lvlJc w:val="left"/>
      <w:pPr>
        <w:tabs>
          <w:tab w:val="num" w:pos="4320"/>
        </w:tabs>
        <w:ind w:left="4320" w:hanging="360"/>
      </w:pPr>
      <w:rPr>
        <w:rFonts w:ascii="Wingdings" w:hAnsi="Wingdings" w:hint="default"/>
      </w:rPr>
    </w:lvl>
    <w:lvl w:ilvl="6" w:tplc="D54EAEA4" w:tentative="1">
      <w:start w:val="1"/>
      <w:numFmt w:val="bullet"/>
      <w:lvlText w:val=""/>
      <w:lvlJc w:val="left"/>
      <w:pPr>
        <w:tabs>
          <w:tab w:val="num" w:pos="5040"/>
        </w:tabs>
        <w:ind w:left="5040" w:hanging="360"/>
      </w:pPr>
      <w:rPr>
        <w:rFonts w:ascii="Wingdings" w:hAnsi="Wingdings" w:hint="default"/>
      </w:rPr>
    </w:lvl>
    <w:lvl w:ilvl="7" w:tplc="547819FC" w:tentative="1">
      <w:start w:val="1"/>
      <w:numFmt w:val="bullet"/>
      <w:lvlText w:val=""/>
      <w:lvlJc w:val="left"/>
      <w:pPr>
        <w:tabs>
          <w:tab w:val="num" w:pos="5760"/>
        </w:tabs>
        <w:ind w:left="5760" w:hanging="360"/>
      </w:pPr>
      <w:rPr>
        <w:rFonts w:ascii="Wingdings" w:hAnsi="Wingdings" w:hint="default"/>
      </w:rPr>
    </w:lvl>
    <w:lvl w:ilvl="8" w:tplc="488A2F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B6059"/>
    <w:multiLevelType w:val="hybridMultilevel"/>
    <w:tmpl w:val="1EBC6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9C7460"/>
    <w:multiLevelType w:val="hybridMultilevel"/>
    <w:tmpl w:val="A5368E4E"/>
    <w:lvl w:ilvl="0" w:tplc="AA0ABAAE">
      <w:start w:val="1"/>
      <w:numFmt w:val="bullet"/>
      <w:lvlText w:val="•"/>
      <w:lvlJc w:val="left"/>
      <w:pPr>
        <w:tabs>
          <w:tab w:val="num" w:pos="720"/>
        </w:tabs>
        <w:ind w:left="720" w:hanging="360"/>
      </w:pPr>
      <w:rPr>
        <w:rFonts w:ascii="Times New Roman" w:hAnsi="Times New Roman" w:hint="default"/>
      </w:rPr>
    </w:lvl>
    <w:lvl w:ilvl="1" w:tplc="2F7CFE04" w:tentative="1">
      <w:start w:val="1"/>
      <w:numFmt w:val="bullet"/>
      <w:lvlText w:val="•"/>
      <w:lvlJc w:val="left"/>
      <w:pPr>
        <w:tabs>
          <w:tab w:val="num" w:pos="1440"/>
        </w:tabs>
        <w:ind w:left="1440" w:hanging="360"/>
      </w:pPr>
      <w:rPr>
        <w:rFonts w:ascii="Times New Roman" w:hAnsi="Times New Roman" w:hint="default"/>
      </w:rPr>
    </w:lvl>
    <w:lvl w:ilvl="2" w:tplc="80C0E4AE" w:tentative="1">
      <w:start w:val="1"/>
      <w:numFmt w:val="bullet"/>
      <w:lvlText w:val="•"/>
      <w:lvlJc w:val="left"/>
      <w:pPr>
        <w:tabs>
          <w:tab w:val="num" w:pos="2160"/>
        </w:tabs>
        <w:ind w:left="2160" w:hanging="360"/>
      </w:pPr>
      <w:rPr>
        <w:rFonts w:ascii="Times New Roman" w:hAnsi="Times New Roman" w:hint="default"/>
      </w:rPr>
    </w:lvl>
    <w:lvl w:ilvl="3" w:tplc="69EA9146" w:tentative="1">
      <w:start w:val="1"/>
      <w:numFmt w:val="bullet"/>
      <w:lvlText w:val="•"/>
      <w:lvlJc w:val="left"/>
      <w:pPr>
        <w:tabs>
          <w:tab w:val="num" w:pos="2880"/>
        </w:tabs>
        <w:ind w:left="2880" w:hanging="360"/>
      </w:pPr>
      <w:rPr>
        <w:rFonts w:ascii="Times New Roman" w:hAnsi="Times New Roman" w:hint="default"/>
      </w:rPr>
    </w:lvl>
    <w:lvl w:ilvl="4" w:tplc="AEA68974" w:tentative="1">
      <w:start w:val="1"/>
      <w:numFmt w:val="bullet"/>
      <w:lvlText w:val="•"/>
      <w:lvlJc w:val="left"/>
      <w:pPr>
        <w:tabs>
          <w:tab w:val="num" w:pos="3600"/>
        </w:tabs>
        <w:ind w:left="3600" w:hanging="360"/>
      </w:pPr>
      <w:rPr>
        <w:rFonts w:ascii="Times New Roman" w:hAnsi="Times New Roman" w:hint="default"/>
      </w:rPr>
    </w:lvl>
    <w:lvl w:ilvl="5" w:tplc="B47EC67E" w:tentative="1">
      <w:start w:val="1"/>
      <w:numFmt w:val="bullet"/>
      <w:lvlText w:val="•"/>
      <w:lvlJc w:val="left"/>
      <w:pPr>
        <w:tabs>
          <w:tab w:val="num" w:pos="4320"/>
        </w:tabs>
        <w:ind w:left="4320" w:hanging="360"/>
      </w:pPr>
      <w:rPr>
        <w:rFonts w:ascii="Times New Roman" w:hAnsi="Times New Roman" w:hint="default"/>
      </w:rPr>
    </w:lvl>
    <w:lvl w:ilvl="6" w:tplc="4A6C9AEA" w:tentative="1">
      <w:start w:val="1"/>
      <w:numFmt w:val="bullet"/>
      <w:lvlText w:val="•"/>
      <w:lvlJc w:val="left"/>
      <w:pPr>
        <w:tabs>
          <w:tab w:val="num" w:pos="5040"/>
        </w:tabs>
        <w:ind w:left="5040" w:hanging="360"/>
      </w:pPr>
      <w:rPr>
        <w:rFonts w:ascii="Times New Roman" w:hAnsi="Times New Roman" w:hint="default"/>
      </w:rPr>
    </w:lvl>
    <w:lvl w:ilvl="7" w:tplc="AA3E988A" w:tentative="1">
      <w:start w:val="1"/>
      <w:numFmt w:val="bullet"/>
      <w:lvlText w:val="•"/>
      <w:lvlJc w:val="left"/>
      <w:pPr>
        <w:tabs>
          <w:tab w:val="num" w:pos="5760"/>
        </w:tabs>
        <w:ind w:left="5760" w:hanging="360"/>
      </w:pPr>
      <w:rPr>
        <w:rFonts w:ascii="Times New Roman" w:hAnsi="Times New Roman" w:hint="default"/>
      </w:rPr>
    </w:lvl>
    <w:lvl w:ilvl="8" w:tplc="629438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5F209D8"/>
    <w:multiLevelType w:val="hybridMultilevel"/>
    <w:tmpl w:val="CB6A24C4"/>
    <w:lvl w:ilvl="0" w:tplc="03F05D9C">
      <w:start w:val="1"/>
      <w:numFmt w:val="bullet"/>
      <w:lvlText w:val="-"/>
      <w:lvlJc w:val="left"/>
      <w:pPr>
        <w:ind w:left="1287" w:hanging="360"/>
      </w:pPr>
      <w:rPr>
        <w:rFonts w:ascii="Times New Roman" w:hAnsi="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47AD0B84"/>
    <w:multiLevelType w:val="hybridMultilevel"/>
    <w:tmpl w:val="FC20DC4E"/>
    <w:lvl w:ilvl="0" w:tplc="1728DCD4">
      <w:start w:val="1"/>
      <w:numFmt w:val="bullet"/>
      <w:lvlText w:val=""/>
      <w:lvlJc w:val="left"/>
      <w:pPr>
        <w:tabs>
          <w:tab w:val="num" w:pos="720"/>
        </w:tabs>
        <w:ind w:left="720" w:hanging="360"/>
      </w:pPr>
      <w:rPr>
        <w:rFonts w:ascii="Wingdings" w:hAnsi="Wingdings" w:hint="default"/>
      </w:rPr>
    </w:lvl>
    <w:lvl w:ilvl="1" w:tplc="5BDC5DC6" w:tentative="1">
      <w:start w:val="1"/>
      <w:numFmt w:val="bullet"/>
      <w:lvlText w:val=""/>
      <w:lvlJc w:val="left"/>
      <w:pPr>
        <w:tabs>
          <w:tab w:val="num" w:pos="1440"/>
        </w:tabs>
        <w:ind w:left="1440" w:hanging="360"/>
      </w:pPr>
      <w:rPr>
        <w:rFonts w:ascii="Wingdings" w:hAnsi="Wingdings" w:hint="default"/>
      </w:rPr>
    </w:lvl>
    <w:lvl w:ilvl="2" w:tplc="F4305F86" w:tentative="1">
      <w:start w:val="1"/>
      <w:numFmt w:val="bullet"/>
      <w:lvlText w:val=""/>
      <w:lvlJc w:val="left"/>
      <w:pPr>
        <w:tabs>
          <w:tab w:val="num" w:pos="2160"/>
        </w:tabs>
        <w:ind w:left="2160" w:hanging="360"/>
      </w:pPr>
      <w:rPr>
        <w:rFonts w:ascii="Wingdings" w:hAnsi="Wingdings" w:hint="default"/>
      </w:rPr>
    </w:lvl>
    <w:lvl w:ilvl="3" w:tplc="FDFC489C" w:tentative="1">
      <w:start w:val="1"/>
      <w:numFmt w:val="bullet"/>
      <w:lvlText w:val=""/>
      <w:lvlJc w:val="left"/>
      <w:pPr>
        <w:tabs>
          <w:tab w:val="num" w:pos="2880"/>
        </w:tabs>
        <w:ind w:left="2880" w:hanging="360"/>
      </w:pPr>
      <w:rPr>
        <w:rFonts w:ascii="Wingdings" w:hAnsi="Wingdings" w:hint="default"/>
      </w:rPr>
    </w:lvl>
    <w:lvl w:ilvl="4" w:tplc="F2C8A6E8" w:tentative="1">
      <w:start w:val="1"/>
      <w:numFmt w:val="bullet"/>
      <w:lvlText w:val=""/>
      <w:lvlJc w:val="left"/>
      <w:pPr>
        <w:tabs>
          <w:tab w:val="num" w:pos="3600"/>
        </w:tabs>
        <w:ind w:left="3600" w:hanging="360"/>
      </w:pPr>
      <w:rPr>
        <w:rFonts w:ascii="Wingdings" w:hAnsi="Wingdings" w:hint="default"/>
      </w:rPr>
    </w:lvl>
    <w:lvl w:ilvl="5" w:tplc="925C36BE" w:tentative="1">
      <w:start w:val="1"/>
      <w:numFmt w:val="bullet"/>
      <w:lvlText w:val=""/>
      <w:lvlJc w:val="left"/>
      <w:pPr>
        <w:tabs>
          <w:tab w:val="num" w:pos="4320"/>
        </w:tabs>
        <w:ind w:left="4320" w:hanging="360"/>
      </w:pPr>
      <w:rPr>
        <w:rFonts w:ascii="Wingdings" w:hAnsi="Wingdings" w:hint="default"/>
      </w:rPr>
    </w:lvl>
    <w:lvl w:ilvl="6" w:tplc="A508B604" w:tentative="1">
      <w:start w:val="1"/>
      <w:numFmt w:val="bullet"/>
      <w:lvlText w:val=""/>
      <w:lvlJc w:val="left"/>
      <w:pPr>
        <w:tabs>
          <w:tab w:val="num" w:pos="5040"/>
        </w:tabs>
        <w:ind w:left="5040" w:hanging="360"/>
      </w:pPr>
      <w:rPr>
        <w:rFonts w:ascii="Wingdings" w:hAnsi="Wingdings" w:hint="default"/>
      </w:rPr>
    </w:lvl>
    <w:lvl w:ilvl="7" w:tplc="587A9F84" w:tentative="1">
      <w:start w:val="1"/>
      <w:numFmt w:val="bullet"/>
      <w:lvlText w:val=""/>
      <w:lvlJc w:val="left"/>
      <w:pPr>
        <w:tabs>
          <w:tab w:val="num" w:pos="5760"/>
        </w:tabs>
        <w:ind w:left="5760" w:hanging="360"/>
      </w:pPr>
      <w:rPr>
        <w:rFonts w:ascii="Wingdings" w:hAnsi="Wingdings" w:hint="default"/>
      </w:rPr>
    </w:lvl>
    <w:lvl w:ilvl="8" w:tplc="1E60C4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424B8"/>
    <w:multiLevelType w:val="hybridMultilevel"/>
    <w:tmpl w:val="DE422628"/>
    <w:lvl w:ilvl="0" w:tplc="228807D0">
      <w:start w:val="1"/>
      <w:numFmt w:val="bullet"/>
      <w:lvlText w:val="•"/>
      <w:lvlJc w:val="left"/>
      <w:pPr>
        <w:tabs>
          <w:tab w:val="num" w:pos="720"/>
        </w:tabs>
        <w:ind w:left="720" w:hanging="360"/>
      </w:pPr>
      <w:rPr>
        <w:rFonts w:ascii="Times New Roman" w:hAnsi="Times New Roman" w:hint="default"/>
      </w:rPr>
    </w:lvl>
    <w:lvl w:ilvl="1" w:tplc="1C66BA4C" w:tentative="1">
      <w:start w:val="1"/>
      <w:numFmt w:val="bullet"/>
      <w:lvlText w:val="•"/>
      <w:lvlJc w:val="left"/>
      <w:pPr>
        <w:tabs>
          <w:tab w:val="num" w:pos="1440"/>
        </w:tabs>
        <w:ind w:left="1440" w:hanging="360"/>
      </w:pPr>
      <w:rPr>
        <w:rFonts w:ascii="Times New Roman" w:hAnsi="Times New Roman" w:hint="default"/>
      </w:rPr>
    </w:lvl>
    <w:lvl w:ilvl="2" w:tplc="73E2324C" w:tentative="1">
      <w:start w:val="1"/>
      <w:numFmt w:val="bullet"/>
      <w:lvlText w:val="•"/>
      <w:lvlJc w:val="left"/>
      <w:pPr>
        <w:tabs>
          <w:tab w:val="num" w:pos="2160"/>
        </w:tabs>
        <w:ind w:left="2160" w:hanging="360"/>
      </w:pPr>
      <w:rPr>
        <w:rFonts w:ascii="Times New Roman" w:hAnsi="Times New Roman" w:hint="default"/>
      </w:rPr>
    </w:lvl>
    <w:lvl w:ilvl="3" w:tplc="1C9C1690" w:tentative="1">
      <w:start w:val="1"/>
      <w:numFmt w:val="bullet"/>
      <w:lvlText w:val="•"/>
      <w:lvlJc w:val="left"/>
      <w:pPr>
        <w:tabs>
          <w:tab w:val="num" w:pos="2880"/>
        </w:tabs>
        <w:ind w:left="2880" w:hanging="360"/>
      </w:pPr>
      <w:rPr>
        <w:rFonts w:ascii="Times New Roman" w:hAnsi="Times New Roman" w:hint="default"/>
      </w:rPr>
    </w:lvl>
    <w:lvl w:ilvl="4" w:tplc="F886F124" w:tentative="1">
      <w:start w:val="1"/>
      <w:numFmt w:val="bullet"/>
      <w:lvlText w:val="•"/>
      <w:lvlJc w:val="left"/>
      <w:pPr>
        <w:tabs>
          <w:tab w:val="num" w:pos="3600"/>
        </w:tabs>
        <w:ind w:left="3600" w:hanging="360"/>
      </w:pPr>
      <w:rPr>
        <w:rFonts w:ascii="Times New Roman" w:hAnsi="Times New Roman" w:hint="default"/>
      </w:rPr>
    </w:lvl>
    <w:lvl w:ilvl="5" w:tplc="99CE1120" w:tentative="1">
      <w:start w:val="1"/>
      <w:numFmt w:val="bullet"/>
      <w:lvlText w:val="•"/>
      <w:lvlJc w:val="left"/>
      <w:pPr>
        <w:tabs>
          <w:tab w:val="num" w:pos="4320"/>
        </w:tabs>
        <w:ind w:left="4320" w:hanging="360"/>
      </w:pPr>
      <w:rPr>
        <w:rFonts w:ascii="Times New Roman" w:hAnsi="Times New Roman" w:hint="default"/>
      </w:rPr>
    </w:lvl>
    <w:lvl w:ilvl="6" w:tplc="74FEBDB0" w:tentative="1">
      <w:start w:val="1"/>
      <w:numFmt w:val="bullet"/>
      <w:lvlText w:val="•"/>
      <w:lvlJc w:val="left"/>
      <w:pPr>
        <w:tabs>
          <w:tab w:val="num" w:pos="5040"/>
        </w:tabs>
        <w:ind w:left="5040" w:hanging="360"/>
      </w:pPr>
      <w:rPr>
        <w:rFonts w:ascii="Times New Roman" w:hAnsi="Times New Roman" w:hint="default"/>
      </w:rPr>
    </w:lvl>
    <w:lvl w:ilvl="7" w:tplc="797AC2C0" w:tentative="1">
      <w:start w:val="1"/>
      <w:numFmt w:val="bullet"/>
      <w:lvlText w:val="•"/>
      <w:lvlJc w:val="left"/>
      <w:pPr>
        <w:tabs>
          <w:tab w:val="num" w:pos="5760"/>
        </w:tabs>
        <w:ind w:left="5760" w:hanging="360"/>
      </w:pPr>
      <w:rPr>
        <w:rFonts w:ascii="Times New Roman" w:hAnsi="Times New Roman" w:hint="default"/>
      </w:rPr>
    </w:lvl>
    <w:lvl w:ilvl="8" w:tplc="FCBC53D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E9D235E"/>
    <w:multiLevelType w:val="hybridMultilevel"/>
    <w:tmpl w:val="F692D1B2"/>
    <w:lvl w:ilvl="0" w:tplc="D4E88162">
      <w:start w:val="363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533C03"/>
    <w:multiLevelType w:val="hybridMultilevel"/>
    <w:tmpl w:val="C67E569C"/>
    <w:lvl w:ilvl="0" w:tplc="F8709370">
      <w:start w:val="1"/>
      <w:numFmt w:val="bullet"/>
      <w:lvlText w:val=""/>
      <w:lvlJc w:val="left"/>
      <w:pPr>
        <w:tabs>
          <w:tab w:val="num" w:pos="720"/>
        </w:tabs>
        <w:ind w:left="720" w:hanging="360"/>
      </w:pPr>
      <w:rPr>
        <w:rFonts w:ascii="Wingdings" w:hAnsi="Wingdings" w:hint="default"/>
      </w:rPr>
    </w:lvl>
    <w:lvl w:ilvl="1" w:tplc="DA048748" w:tentative="1">
      <w:start w:val="1"/>
      <w:numFmt w:val="bullet"/>
      <w:lvlText w:val=""/>
      <w:lvlJc w:val="left"/>
      <w:pPr>
        <w:tabs>
          <w:tab w:val="num" w:pos="1440"/>
        </w:tabs>
        <w:ind w:left="1440" w:hanging="360"/>
      </w:pPr>
      <w:rPr>
        <w:rFonts w:ascii="Wingdings" w:hAnsi="Wingdings" w:hint="default"/>
      </w:rPr>
    </w:lvl>
    <w:lvl w:ilvl="2" w:tplc="7C3226C2" w:tentative="1">
      <w:start w:val="1"/>
      <w:numFmt w:val="bullet"/>
      <w:lvlText w:val=""/>
      <w:lvlJc w:val="left"/>
      <w:pPr>
        <w:tabs>
          <w:tab w:val="num" w:pos="2160"/>
        </w:tabs>
        <w:ind w:left="2160" w:hanging="360"/>
      </w:pPr>
      <w:rPr>
        <w:rFonts w:ascii="Wingdings" w:hAnsi="Wingdings" w:hint="default"/>
      </w:rPr>
    </w:lvl>
    <w:lvl w:ilvl="3" w:tplc="2F0C30AE" w:tentative="1">
      <w:start w:val="1"/>
      <w:numFmt w:val="bullet"/>
      <w:lvlText w:val=""/>
      <w:lvlJc w:val="left"/>
      <w:pPr>
        <w:tabs>
          <w:tab w:val="num" w:pos="2880"/>
        </w:tabs>
        <w:ind w:left="2880" w:hanging="360"/>
      </w:pPr>
      <w:rPr>
        <w:rFonts w:ascii="Wingdings" w:hAnsi="Wingdings" w:hint="default"/>
      </w:rPr>
    </w:lvl>
    <w:lvl w:ilvl="4" w:tplc="00E8FB1E" w:tentative="1">
      <w:start w:val="1"/>
      <w:numFmt w:val="bullet"/>
      <w:lvlText w:val=""/>
      <w:lvlJc w:val="left"/>
      <w:pPr>
        <w:tabs>
          <w:tab w:val="num" w:pos="3600"/>
        </w:tabs>
        <w:ind w:left="3600" w:hanging="360"/>
      </w:pPr>
      <w:rPr>
        <w:rFonts w:ascii="Wingdings" w:hAnsi="Wingdings" w:hint="default"/>
      </w:rPr>
    </w:lvl>
    <w:lvl w:ilvl="5" w:tplc="367C9A26" w:tentative="1">
      <w:start w:val="1"/>
      <w:numFmt w:val="bullet"/>
      <w:lvlText w:val=""/>
      <w:lvlJc w:val="left"/>
      <w:pPr>
        <w:tabs>
          <w:tab w:val="num" w:pos="4320"/>
        </w:tabs>
        <w:ind w:left="4320" w:hanging="360"/>
      </w:pPr>
      <w:rPr>
        <w:rFonts w:ascii="Wingdings" w:hAnsi="Wingdings" w:hint="default"/>
      </w:rPr>
    </w:lvl>
    <w:lvl w:ilvl="6" w:tplc="133E84CE" w:tentative="1">
      <w:start w:val="1"/>
      <w:numFmt w:val="bullet"/>
      <w:lvlText w:val=""/>
      <w:lvlJc w:val="left"/>
      <w:pPr>
        <w:tabs>
          <w:tab w:val="num" w:pos="5040"/>
        </w:tabs>
        <w:ind w:left="5040" w:hanging="360"/>
      </w:pPr>
      <w:rPr>
        <w:rFonts w:ascii="Wingdings" w:hAnsi="Wingdings" w:hint="default"/>
      </w:rPr>
    </w:lvl>
    <w:lvl w:ilvl="7" w:tplc="55CA8606" w:tentative="1">
      <w:start w:val="1"/>
      <w:numFmt w:val="bullet"/>
      <w:lvlText w:val=""/>
      <w:lvlJc w:val="left"/>
      <w:pPr>
        <w:tabs>
          <w:tab w:val="num" w:pos="5760"/>
        </w:tabs>
        <w:ind w:left="5760" w:hanging="360"/>
      </w:pPr>
      <w:rPr>
        <w:rFonts w:ascii="Wingdings" w:hAnsi="Wingdings" w:hint="default"/>
      </w:rPr>
    </w:lvl>
    <w:lvl w:ilvl="8" w:tplc="123281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A85D9D"/>
    <w:multiLevelType w:val="hybridMultilevel"/>
    <w:tmpl w:val="2986765E"/>
    <w:lvl w:ilvl="0" w:tplc="8102931C">
      <w:start w:val="1"/>
      <w:numFmt w:val="bullet"/>
      <w:lvlText w:val="•"/>
      <w:lvlJc w:val="left"/>
      <w:pPr>
        <w:tabs>
          <w:tab w:val="num" w:pos="720"/>
        </w:tabs>
        <w:ind w:left="720" w:hanging="360"/>
      </w:pPr>
      <w:rPr>
        <w:rFonts w:ascii="Times New Roman" w:hAnsi="Times New Roman" w:hint="default"/>
      </w:rPr>
    </w:lvl>
    <w:lvl w:ilvl="1" w:tplc="0B34495C" w:tentative="1">
      <w:start w:val="1"/>
      <w:numFmt w:val="bullet"/>
      <w:lvlText w:val="•"/>
      <w:lvlJc w:val="left"/>
      <w:pPr>
        <w:tabs>
          <w:tab w:val="num" w:pos="1440"/>
        </w:tabs>
        <w:ind w:left="1440" w:hanging="360"/>
      </w:pPr>
      <w:rPr>
        <w:rFonts w:ascii="Times New Roman" w:hAnsi="Times New Roman" w:hint="default"/>
      </w:rPr>
    </w:lvl>
    <w:lvl w:ilvl="2" w:tplc="D91491AA" w:tentative="1">
      <w:start w:val="1"/>
      <w:numFmt w:val="bullet"/>
      <w:lvlText w:val="•"/>
      <w:lvlJc w:val="left"/>
      <w:pPr>
        <w:tabs>
          <w:tab w:val="num" w:pos="2160"/>
        </w:tabs>
        <w:ind w:left="2160" w:hanging="360"/>
      </w:pPr>
      <w:rPr>
        <w:rFonts w:ascii="Times New Roman" w:hAnsi="Times New Roman" w:hint="default"/>
      </w:rPr>
    </w:lvl>
    <w:lvl w:ilvl="3" w:tplc="B2ECB218" w:tentative="1">
      <w:start w:val="1"/>
      <w:numFmt w:val="bullet"/>
      <w:lvlText w:val="•"/>
      <w:lvlJc w:val="left"/>
      <w:pPr>
        <w:tabs>
          <w:tab w:val="num" w:pos="2880"/>
        </w:tabs>
        <w:ind w:left="2880" w:hanging="360"/>
      </w:pPr>
      <w:rPr>
        <w:rFonts w:ascii="Times New Roman" w:hAnsi="Times New Roman" w:hint="default"/>
      </w:rPr>
    </w:lvl>
    <w:lvl w:ilvl="4" w:tplc="C066B93A" w:tentative="1">
      <w:start w:val="1"/>
      <w:numFmt w:val="bullet"/>
      <w:lvlText w:val="•"/>
      <w:lvlJc w:val="left"/>
      <w:pPr>
        <w:tabs>
          <w:tab w:val="num" w:pos="3600"/>
        </w:tabs>
        <w:ind w:left="3600" w:hanging="360"/>
      </w:pPr>
      <w:rPr>
        <w:rFonts w:ascii="Times New Roman" w:hAnsi="Times New Roman" w:hint="default"/>
      </w:rPr>
    </w:lvl>
    <w:lvl w:ilvl="5" w:tplc="92E60F20" w:tentative="1">
      <w:start w:val="1"/>
      <w:numFmt w:val="bullet"/>
      <w:lvlText w:val="•"/>
      <w:lvlJc w:val="left"/>
      <w:pPr>
        <w:tabs>
          <w:tab w:val="num" w:pos="4320"/>
        </w:tabs>
        <w:ind w:left="4320" w:hanging="360"/>
      </w:pPr>
      <w:rPr>
        <w:rFonts w:ascii="Times New Roman" w:hAnsi="Times New Roman" w:hint="default"/>
      </w:rPr>
    </w:lvl>
    <w:lvl w:ilvl="6" w:tplc="A9FEE870" w:tentative="1">
      <w:start w:val="1"/>
      <w:numFmt w:val="bullet"/>
      <w:lvlText w:val="•"/>
      <w:lvlJc w:val="left"/>
      <w:pPr>
        <w:tabs>
          <w:tab w:val="num" w:pos="5040"/>
        </w:tabs>
        <w:ind w:left="5040" w:hanging="360"/>
      </w:pPr>
      <w:rPr>
        <w:rFonts w:ascii="Times New Roman" w:hAnsi="Times New Roman" w:hint="default"/>
      </w:rPr>
    </w:lvl>
    <w:lvl w:ilvl="7" w:tplc="9F3EBFCA" w:tentative="1">
      <w:start w:val="1"/>
      <w:numFmt w:val="bullet"/>
      <w:lvlText w:val="•"/>
      <w:lvlJc w:val="left"/>
      <w:pPr>
        <w:tabs>
          <w:tab w:val="num" w:pos="5760"/>
        </w:tabs>
        <w:ind w:left="5760" w:hanging="360"/>
      </w:pPr>
      <w:rPr>
        <w:rFonts w:ascii="Times New Roman" w:hAnsi="Times New Roman" w:hint="default"/>
      </w:rPr>
    </w:lvl>
    <w:lvl w:ilvl="8" w:tplc="594E69F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FD33F67"/>
    <w:multiLevelType w:val="hybridMultilevel"/>
    <w:tmpl w:val="2ACC275A"/>
    <w:lvl w:ilvl="0" w:tplc="A00ECD4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7A71F51"/>
    <w:multiLevelType w:val="hybridMultilevel"/>
    <w:tmpl w:val="1FFEC046"/>
    <w:lvl w:ilvl="0" w:tplc="A00ECD4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4"/>
  </w:num>
  <w:num w:numId="4">
    <w:abstractNumId w:val="8"/>
  </w:num>
  <w:num w:numId="5">
    <w:abstractNumId w:val="5"/>
  </w:num>
  <w:num w:numId="6">
    <w:abstractNumId w:val="11"/>
  </w:num>
  <w:num w:numId="7">
    <w:abstractNumId w:val="3"/>
  </w:num>
  <w:num w:numId="8">
    <w:abstractNumId w:val="6"/>
  </w:num>
  <w:num w:numId="9">
    <w:abstractNumId w:val="1"/>
  </w:num>
  <w:num w:numId="10">
    <w:abstractNumId w:val="0"/>
  </w:num>
  <w:num w:numId="11">
    <w:abstractNumId w:val="9"/>
  </w:num>
  <w:num w:numId="12">
    <w:abstractNumId w:val="12"/>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BE"/>
    <w:rsid w:val="000003BE"/>
    <w:rsid w:val="000011CA"/>
    <w:rsid w:val="00026226"/>
    <w:rsid w:val="000310A3"/>
    <w:rsid w:val="000368C4"/>
    <w:rsid w:val="00077AF0"/>
    <w:rsid w:val="00094812"/>
    <w:rsid w:val="000B67EA"/>
    <w:rsid w:val="000D20A9"/>
    <w:rsid w:val="000D59FB"/>
    <w:rsid w:val="000D6594"/>
    <w:rsid w:val="000D748E"/>
    <w:rsid w:val="000E4547"/>
    <w:rsid w:val="000F25B9"/>
    <w:rsid w:val="000F2F3F"/>
    <w:rsid w:val="00100FA8"/>
    <w:rsid w:val="001070DF"/>
    <w:rsid w:val="001104DC"/>
    <w:rsid w:val="00121DA3"/>
    <w:rsid w:val="00122C86"/>
    <w:rsid w:val="00130519"/>
    <w:rsid w:val="00131516"/>
    <w:rsid w:val="00132A95"/>
    <w:rsid w:val="00137D9B"/>
    <w:rsid w:val="0015247E"/>
    <w:rsid w:val="00160C2B"/>
    <w:rsid w:val="00173B68"/>
    <w:rsid w:val="00175D40"/>
    <w:rsid w:val="0017727A"/>
    <w:rsid w:val="00184A74"/>
    <w:rsid w:val="00197B97"/>
    <w:rsid w:val="001A3F43"/>
    <w:rsid w:val="001A6443"/>
    <w:rsid w:val="001D0B0C"/>
    <w:rsid w:val="001D114A"/>
    <w:rsid w:val="001D386E"/>
    <w:rsid w:val="001D6ED4"/>
    <w:rsid w:val="001E5567"/>
    <w:rsid w:val="0020130C"/>
    <w:rsid w:val="0020159E"/>
    <w:rsid w:val="00207595"/>
    <w:rsid w:val="002140C0"/>
    <w:rsid w:val="00215905"/>
    <w:rsid w:val="00233E5E"/>
    <w:rsid w:val="002479ED"/>
    <w:rsid w:val="00250FDA"/>
    <w:rsid w:val="00277654"/>
    <w:rsid w:val="00290832"/>
    <w:rsid w:val="00290C62"/>
    <w:rsid w:val="002912F9"/>
    <w:rsid w:val="00293032"/>
    <w:rsid w:val="00293789"/>
    <w:rsid w:val="002A771A"/>
    <w:rsid w:val="002B13D6"/>
    <w:rsid w:val="002B18D4"/>
    <w:rsid w:val="002E18AC"/>
    <w:rsid w:val="002E2399"/>
    <w:rsid w:val="002E643E"/>
    <w:rsid w:val="002F26E1"/>
    <w:rsid w:val="00301F3F"/>
    <w:rsid w:val="003147F9"/>
    <w:rsid w:val="00317B1D"/>
    <w:rsid w:val="00322FCE"/>
    <w:rsid w:val="00372513"/>
    <w:rsid w:val="00372C44"/>
    <w:rsid w:val="0038038D"/>
    <w:rsid w:val="00385CF8"/>
    <w:rsid w:val="003911B3"/>
    <w:rsid w:val="00392F29"/>
    <w:rsid w:val="003B1F3A"/>
    <w:rsid w:val="003F5FAF"/>
    <w:rsid w:val="00403B66"/>
    <w:rsid w:val="00411541"/>
    <w:rsid w:val="00415A2D"/>
    <w:rsid w:val="00416DE4"/>
    <w:rsid w:val="00422DD6"/>
    <w:rsid w:val="004353AF"/>
    <w:rsid w:val="00450E9E"/>
    <w:rsid w:val="004558C3"/>
    <w:rsid w:val="004720CF"/>
    <w:rsid w:val="004738D7"/>
    <w:rsid w:val="004804E7"/>
    <w:rsid w:val="00480E61"/>
    <w:rsid w:val="004914A4"/>
    <w:rsid w:val="004A227C"/>
    <w:rsid w:val="004C23B6"/>
    <w:rsid w:val="004D39BA"/>
    <w:rsid w:val="004E153F"/>
    <w:rsid w:val="004F1303"/>
    <w:rsid w:val="004F688C"/>
    <w:rsid w:val="00513482"/>
    <w:rsid w:val="0052313F"/>
    <w:rsid w:val="005326CA"/>
    <w:rsid w:val="00544617"/>
    <w:rsid w:val="0055047B"/>
    <w:rsid w:val="00560EDF"/>
    <w:rsid w:val="005642CC"/>
    <w:rsid w:val="00584659"/>
    <w:rsid w:val="005958E8"/>
    <w:rsid w:val="005A461D"/>
    <w:rsid w:val="005B198F"/>
    <w:rsid w:val="005B5EA6"/>
    <w:rsid w:val="005C27FC"/>
    <w:rsid w:val="005D3E28"/>
    <w:rsid w:val="005D5987"/>
    <w:rsid w:val="005F7B40"/>
    <w:rsid w:val="00600D07"/>
    <w:rsid w:val="006134C5"/>
    <w:rsid w:val="00613D4D"/>
    <w:rsid w:val="00616712"/>
    <w:rsid w:val="00624EE1"/>
    <w:rsid w:val="006255A2"/>
    <w:rsid w:val="006328A6"/>
    <w:rsid w:val="006406D3"/>
    <w:rsid w:val="0064140D"/>
    <w:rsid w:val="00660927"/>
    <w:rsid w:val="00674161"/>
    <w:rsid w:val="00677690"/>
    <w:rsid w:val="006831F5"/>
    <w:rsid w:val="00684653"/>
    <w:rsid w:val="00686658"/>
    <w:rsid w:val="006A1C7D"/>
    <w:rsid w:val="006A2A21"/>
    <w:rsid w:val="006A3E65"/>
    <w:rsid w:val="006B6255"/>
    <w:rsid w:val="006C3495"/>
    <w:rsid w:val="006E072D"/>
    <w:rsid w:val="006E6BFA"/>
    <w:rsid w:val="006F4F4A"/>
    <w:rsid w:val="006F7A8B"/>
    <w:rsid w:val="00700EA2"/>
    <w:rsid w:val="00721165"/>
    <w:rsid w:val="0072647E"/>
    <w:rsid w:val="00732380"/>
    <w:rsid w:val="007605F8"/>
    <w:rsid w:val="0076083F"/>
    <w:rsid w:val="0076216F"/>
    <w:rsid w:val="00764BDE"/>
    <w:rsid w:val="007726A0"/>
    <w:rsid w:val="007813CA"/>
    <w:rsid w:val="0078715E"/>
    <w:rsid w:val="00790ED0"/>
    <w:rsid w:val="007B2071"/>
    <w:rsid w:val="007C18C5"/>
    <w:rsid w:val="007C67BA"/>
    <w:rsid w:val="007C7541"/>
    <w:rsid w:val="007E638F"/>
    <w:rsid w:val="0080243E"/>
    <w:rsid w:val="00806204"/>
    <w:rsid w:val="00812132"/>
    <w:rsid w:val="00822B2F"/>
    <w:rsid w:val="00823104"/>
    <w:rsid w:val="00831DBC"/>
    <w:rsid w:val="008356A3"/>
    <w:rsid w:val="00841309"/>
    <w:rsid w:val="00860E56"/>
    <w:rsid w:val="0087152A"/>
    <w:rsid w:val="00872A75"/>
    <w:rsid w:val="00873916"/>
    <w:rsid w:val="00887172"/>
    <w:rsid w:val="008971AD"/>
    <w:rsid w:val="008A6DB2"/>
    <w:rsid w:val="008B40B6"/>
    <w:rsid w:val="008C3C68"/>
    <w:rsid w:val="008E0A90"/>
    <w:rsid w:val="008E583B"/>
    <w:rsid w:val="008E7362"/>
    <w:rsid w:val="008F115E"/>
    <w:rsid w:val="008F5113"/>
    <w:rsid w:val="00907409"/>
    <w:rsid w:val="00907F36"/>
    <w:rsid w:val="00917DEC"/>
    <w:rsid w:val="00926A18"/>
    <w:rsid w:val="009307DD"/>
    <w:rsid w:val="0093103F"/>
    <w:rsid w:val="00932A74"/>
    <w:rsid w:val="009361C5"/>
    <w:rsid w:val="00936DC1"/>
    <w:rsid w:val="0094528E"/>
    <w:rsid w:val="009504A2"/>
    <w:rsid w:val="009513E3"/>
    <w:rsid w:val="00954BCD"/>
    <w:rsid w:val="00960983"/>
    <w:rsid w:val="00996195"/>
    <w:rsid w:val="009A7459"/>
    <w:rsid w:val="009B66D3"/>
    <w:rsid w:val="009C0F72"/>
    <w:rsid w:val="009D2808"/>
    <w:rsid w:val="009F411D"/>
    <w:rsid w:val="009F7C2B"/>
    <w:rsid w:val="00A12B43"/>
    <w:rsid w:val="00A16A13"/>
    <w:rsid w:val="00A419A7"/>
    <w:rsid w:val="00A51FE8"/>
    <w:rsid w:val="00A54434"/>
    <w:rsid w:val="00A54689"/>
    <w:rsid w:val="00A546F3"/>
    <w:rsid w:val="00A721FD"/>
    <w:rsid w:val="00A73DE9"/>
    <w:rsid w:val="00A7500C"/>
    <w:rsid w:val="00A901BE"/>
    <w:rsid w:val="00A90D15"/>
    <w:rsid w:val="00A9778D"/>
    <w:rsid w:val="00AA371D"/>
    <w:rsid w:val="00AA535F"/>
    <w:rsid w:val="00AB5DE5"/>
    <w:rsid w:val="00AC162E"/>
    <w:rsid w:val="00AE04C7"/>
    <w:rsid w:val="00AF1562"/>
    <w:rsid w:val="00AF1C1E"/>
    <w:rsid w:val="00B0008B"/>
    <w:rsid w:val="00B02D86"/>
    <w:rsid w:val="00B07780"/>
    <w:rsid w:val="00B0782F"/>
    <w:rsid w:val="00B11833"/>
    <w:rsid w:val="00B2279E"/>
    <w:rsid w:val="00B23AC1"/>
    <w:rsid w:val="00B31B1F"/>
    <w:rsid w:val="00B32D1F"/>
    <w:rsid w:val="00B64020"/>
    <w:rsid w:val="00B713DA"/>
    <w:rsid w:val="00B85AC5"/>
    <w:rsid w:val="00B86761"/>
    <w:rsid w:val="00BA03B9"/>
    <w:rsid w:val="00BD58BD"/>
    <w:rsid w:val="00BE2521"/>
    <w:rsid w:val="00BE402C"/>
    <w:rsid w:val="00BF392D"/>
    <w:rsid w:val="00C01531"/>
    <w:rsid w:val="00C12356"/>
    <w:rsid w:val="00C15160"/>
    <w:rsid w:val="00C20B95"/>
    <w:rsid w:val="00C31CF8"/>
    <w:rsid w:val="00C3423E"/>
    <w:rsid w:val="00C42445"/>
    <w:rsid w:val="00C46250"/>
    <w:rsid w:val="00C56766"/>
    <w:rsid w:val="00C62B5B"/>
    <w:rsid w:val="00C64031"/>
    <w:rsid w:val="00C67F18"/>
    <w:rsid w:val="00CA4063"/>
    <w:rsid w:val="00CA4160"/>
    <w:rsid w:val="00CA51B4"/>
    <w:rsid w:val="00CA5606"/>
    <w:rsid w:val="00CC10A0"/>
    <w:rsid w:val="00CC2B09"/>
    <w:rsid w:val="00CD0379"/>
    <w:rsid w:val="00CD070D"/>
    <w:rsid w:val="00CD27C9"/>
    <w:rsid w:val="00CD55AD"/>
    <w:rsid w:val="00CF11ED"/>
    <w:rsid w:val="00CF605F"/>
    <w:rsid w:val="00D02B30"/>
    <w:rsid w:val="00D03F03"/>
    <w:rsid w:val="00D07845"/>
    <w:rsid w:val="00D25AEB"/>
    <w:rsid w:val="00D25E53"/>
    <w:rsid w:val="00D33F79"/>
    <w:rsid w:val="00D34CCF"/>
    <w:rsid w:val="00D400EA"/>
    <w:rsid w:val="00D40C6A"/>
    <w:rsid w:val="00D419CD"/>
    <w:rsid w:val="00D64B3C"/>
    <w:rsid w:val="00D738E9"/>
    <w:rsid w:val="00D750CB"/>
    <w:rsid w:val="00D91A7B"/>
    <w:rsid w:val="00D97053"/>
    <w:rsid w:val="00DB5876"/>
    <w:rsid w:val="00DD01F9"/>
    <w:rsid w:val="00DD2FD8"/>
    <w:rsid w:val="00E03CB6"/>
    <w:rsid w:val="00E06F32"/>
    <w:rsid w:val="00E23518"/>
    <w:rsid w:val="00E25A5E"/>
    <w:rsid w:val="00E32BE3"/>
    <w:rsid w:val="00E3323B"/>
    <w:rsid w:val="00E370EC"/>
    <w:rsid w:val="00E41CA3"/>
    <w:rsid w:val="00E4485C"/>
    <w:rsid w:val="00E53F9B"/>
    <w:rsid w:val="00E740DC"/>
    <w:rsid w:val="00E805E0"/>
    <w:rsid w:val="00E955E4"/>
    <w:rsid w:val="00EB05F3"/>
    <w:rsid w:val="00EB1FB7"/>
    <w:rsid w:val="00EB6164"/>
    <w:rsid w:val="00EC4CCC"/>
    <w:rsid w:val="00EE3BDB"/>
    <w:rsid w:val="00EF2114"/>
    <w:rsid w:val="00EF2C6B"/>
    <w:rsid w:val="00EF3DAA"/>
    <w:rsid w:val="00F14898"/>
    <w:rsid w:val="00F25B11"/>
    <w:rsid w:val="00F27B2E"/>
    <w:rsid w:val="00F54376"/>
    <w:rsid w:val="00F55641"/>
    <w:rsid w:val="00F74B64"/>
    <w:rsid w:val="00F81738"/>
    <w:rsid w:val="00F8236A"/>
    <w:rsid w:val="00F82C89"/>
    <w:rsid w:val="00F90333"/>
    <w:rsid w:val="00FB4261"/>
    <w:rsid w:val="00FC0773"/>
    <w:rsid w:val="00FC63DA"/>
    <w:rsid w:val="00FC6DF5"/>
    <w:rsid w:val="00FD0B90"/>
    <w:rsid w:val="00FE0A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1FC3382-DA7E-4AD9-A953-C79FDE89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411D"/>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 numéro,References,List Paragraph (OST),List Paragraph (numbered (a)) Char,List Paragraph Char Char Char,List Paragraph (numbered (a)),Normal 2,Use Case List Paragraph,List Paragraph2,Bullet Points,Liste Paragraf"/>
    <w:basedOn w:val="Normal"/>
    <w:link w:val="ListParagraphChar"/>
    <w:uiPriority w:val="34"/>
    <w:qFormat/>
    <w:rsid w:val="007C67BA"/>
    <w:pPr>
      <w:ind w:left="720"/>
      <w:contextualSpacing/>
    </w:pPr>
    <w:rPr>
      <w:rFonts w:cs="Times New Roman"/>
    </w:rPr>
  </w:style>
  <w:style w:type="character" w:styleId="FootnoteReference">
    <w:name w:val="footnote reference"/>
    <w:semiHidden/>
    <w:rsid w:val="00EC4CCC"/>
    <w:rPr>
      <w:vertAlign w:val="superscript"/>
    </w:rPr>
  </w:style>
  <w:style w:type="character" w:styleId="Emphasis">
    <w:name w:val="Emphasis"/>
    <w:uiPriority w:val="20"/>
    <w:qFormat/>
    <w:rsid w:val="00AA371D"/>
    <w:rPr>
      <w:i/>
      <w:iCs/>
    </w:rPr>
  </w:style>
  <w:style w:type="paragraph" w:styleId="BodyText3">
    <w:name w:val="Body Text 3"/>
    <w:basedOn w:val="Normal"/>
    <w:link w:val="BodyText3Char"/>
    <w:semiHidden/>
    <w:rsid w:val="00C12356"/>
    <w:pPr>
      <w:tabs>
        <w:tab w:val="left" w:pos="2127"/>
      </w:tabs>
      <w:spacing w:after="0" w:line="240" w:lineRule="auto"/>
      <w:jc w:val="both"/>
    </w:pPr>
    <w:rPr>
      <w:rFonts w:ascii="Times New Roman" w:eastAsia="Times New Roman" w:hAnsi="Times New Roman" w:cs="Times New Roman"/>
      <w:sz w:val="18"/>
      <w:szCs w:val="18"/>
      <w:lang w:eastAsia="fr-FR"/>
    </w:rPr>
  </w:style>
  <w:style w:type="character" w:customStyle="1" w:styleId="BodyText3Char">
    <w:name w:val="Body Text 3 Char"/>
    <w:link w:val="BodyText3"/>
    <w:semiHidden/>
    <w:rsid w:val="00C12356"/>
    <w:rPr>
      <w:rFonts w:ascii="Times New Roman" w:eastAsia="Times New Roman" w:hAnsi="Times New Roman" w:cs="Times New Roman"/>
      <w:sz w:val="18"/>
      <w:szCs w:val="18"/>
      <w:lang w:eastAsia="fr-FR"/>
    </w:rPr>
  </w:style>
  <w:style w:type="paragraph" w:styleId="BalloonText">
    <w:name w:val="Balloon Text"/>
    <w:basedOn w:val="Normal"/>
    <w:link w:val="BalloonTextChar"/>
    <w:uiPriority w:val="99"/>
    <w:semiHidden/>
    <w:unhideWhenUsed/>
    <w:rsid w:val="00C12356"/>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C12356"/>
    <w:rPr>
      <w:rFonts w:ascii="Tahoma" w:hAnsi="Tahoma" w:cs="Tahoma"/>
      <w:sz w:val="16"/>
      <w:szCs w:val="16"/>
    </w:rPr>
  </w:style>
  <w:style w:type="paragraph" w:styleId="Header">
    <w:name w:val="header"/>
    <w:basedOn w:val="Normal"/>
    <w:link w:val="HeaderChar"/>
    <w:uiPriority w:val="99"/>
    <w:semiHidden/>
    <w:unhideWhenUsed/>
    <w:rsid w:val="00403B6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03B66"/>
  </w:style>
  <w:style w:type="paragraph" w:styleId="Footer">
    <w:name w:val="footer"/>
    <w:basedOn w:val="Normal"/>
    <w:link w:val="FooterChar"/>
    <w:uiPriority w:val="99"/>
    <w:unhideWhenUsed/>
    <w:rsid w:val="00403B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3B66"/>
  </w:style>
  <w:style w:type="table" w:customStyle="1" w:styleId="Grilledutableau1">
    <w:name w:val="Grille du tableau1"/>
    <w:basedOn w:val="TableNormal"/>
    <w:next w:val="TableGrid"/>
    <w:uiPriority w:val="39"/>
    <w:rsid w:val="00721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21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63D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Paragraphe de liste numéro Char,References Char,List Paragraph (OST) Char,List Paragraph (numbered (a)) Char Char,List Paragraph Char Char Char Char,List Paragraph (numbered (a)) Char1,Normal 2 Char,Use Case List Paragraph Char"/>
    <w:link w:val="ListParagraph"/>
    <w:uiPriority w:val="34"/>
    <w:qFormat/>
    <w:locked/>
    <w:rsid w:val="0078715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51288">
      <w:bodyDiv w:val="1"/>
      <w:marLeft w:val="0"/>
      <w:marRight w:val="0"/>
      <w:marTop w:val="0"/>
      <w:marBottom w:val="0"/>
      <w:divBdr>
        <w:top w:val="none" w:sz="0" w:space="0" w:color="auto"/>
        <w:left w:val="none" w:sz="0" w:space="0" w:color="auto"/>
        <w:bottom w:val="none" w:sz="0" w:space="0" w:color="auto"/>
        <w:right w:val="none" w:sz="0" w:space="0" w:color="auto"/>
      </w:divBdr>
      <w:divsChild>
        <w:div w:id="69549731">
          <w:marLeft w:val="547"/>
          <w:marRight w:val="0"/>
          <w:marTop w:val="110"/>
          <w:marBottom w:val="0"/>
          <w:divBdr>
            <w:top w:val="none" w:sz="0" w:space="0" w:color="auto"/>
            <w:left w:val="none" w:sz="0" w:space="0" w:color="auto"/>
            <w:bottom w:val="none" w:sz="0" w:space="0" w:color="auto"/>
            <w:right w:val="none" w:sz="0" w:space="0" w:color="auto"/>
          </w:divBdr>
        </w:div>
        <w:div w:id="362026470">
          <w:marLeft w:val="547"/>
          <w:marRight w:val="0"/>
          <w:marTop w:val="110"/>
          <w:marBottom w:val="0"/>
          <w:divBdr>
            <w:top w:val="none" w:sz="0" w:space="0" w:color="auto"/>
            <w:left w:val="none" w:sz="0" w:space="0" w:color="auto"/>
            <w:bottom w:val="none" w:sz="0" w:space="0" w:color="auto"/>
            <w:right w:val="none" w:sz="0" w:space="0" w:color="auto"/>
          </w:divBdr>
        </w:div>
        <w:div w:id="667171304">
          <w:marLeft w:val="547"/>
          <w:marRight w:val="0"/>
          <w:marTop w:val="110"/>
          <w:marBottom w:val="0"/>
          <w:divBdr>
            <w:top w:val="none" w:sz="0" w:space="0" w:color="auto"/>
            <w:left w:val="none" w:sz="0" w:space="0" w:color="auto"/>
            <w:bottom w:val="none" w:sz="0" w:space="0" w:color="auto"/>
            <w:right w:val="none" w:sz="0" w:space="0" w:color="auto"/>
          </w:divBdr>
        </w:div>
      </w:divsChild>
    </w:div>
    <w:div w:id="667903369">
      <w:bodyDiv w:val="1"/>
      <w:marLeft w:val="0"/>
      <w:marRight w:val="0"/>
      <w:marTop w:val="0"/>
      <w:marBottom w:val="0"/>
      <w:divBdr>
        <w:top w:val="none" w:sz="0" w:space="0" w:color="auto"/>
        <w:left w:val="none" w:sz="0" w:space="0" w:color="auto"/>
        <w:bottom w:val="none" w:sz="0" w:space="0" w:color="auto"/>
        <w:right w:val="none" w:sz="0" w:space="0" w:color="auto"/>
      </w:divBdr>
      <w:divsChild>
        <w:div w:id="183370452">
          <w:marLeft w:val="547"/>
          <w:marRight w:val="0"/>
          <w:marTop w:val="101"/>
          <w:marBottom w:val="0"/>
          <w:divBdr>
            <w:top w:val="none" w:sz="0" w:space="0" w:color="auto"/>
            <w:left w:val="none" w:sz="0" w:space="0" w:color="auto"/>
            <w:bottom w:val="none" w:sz="0" w:space="0" w:color="auto"/>
            <w:right w:val="none" w:sz="0" w:space="0" w:color="auto"/>
          </w:divBdr>
        </w:div>
        <w:div w:id="388578751">
          <w:marLeft w:val="547"/>
          <w:marRight w:val="0"/>
          <w:marTop w:val="101"/>
          <w:marBottom w:val="0"/>
          <w:divBdr>
            <w:top w:val="none" w:sz="0" w:space="0" w:color="auto"/>
            <w:left w:val="none" w:sz="0" w:space="0" w:color="auto"/>
            <w:bottom w:val="none" w:sz="0" w:space="0" w:color="auto"/>
            <w:right w:val="none" w:sz="0" w:space="0" w:color="auto"/>
          </w:divBdr>
        </w:div>
        <w:div w:id="448283717">
          <w:marLeft w:val="547"/>
          <w:marRight w:val="0"/>
          <w:marTop w:val="101"/>
          <w:marBottom w:val="0"/>
          <w:divBdr>
            <w:top w:val="none" w:sz="0" w:space="0" w:color="auto"/>
            <w:left w:val="none" w:sz="0" w:space="0" w:color="auto"/>
            <w:bottom w:val="none" w:sz="0" w:space="0" w:color="auto"/>
            <w:right w:val="none" w:sz="0" w:space="0" w:color="auto"/>
          </w:divBdr>
        </w:div>
        <w:div w:id="461577431">
          <w:marLeft w:val="547"/>
          <w:marRight w:val="0"/>
          <w:marTop w:val="101"/>
          <w:marBottom w:val="0"/>
          <w:divBdr>
            <w:top w:val="none" w:sz="0" w:space="0" w:color="auto"/>
            <w:left w:val="none" w:sz="0" w:space="0" w:color="auto"/>
            <w:bottom w:val="none" w:sz="0" w:space="0" w:color="auto"/>
            <w:right w:val="none" w:sz="0" w:space="0" w:color="auto"/>
          </w:divBdr>
        </w:div>
        <w:div w:id="517356022">
          <w:marLeft w:val="547"/>
          <w:marRight w:val="0"/>
          <w:marTop w:val="101"/>
          <w:marBottom w:val="0"/>
          <w:divBdr>
            <w:top w:val="none" w:sz="0" w:space="0" w:color="auto"/>
            <w:left w:val="none" w:sz="0" w:space="0" w:color="auto"/>
            <w:bottom w:val="none" w:sz="0" w:space="0" w:color="auto"/>
            <w:right w:val="none" w:sz="0" w:space="0" w:color="auto"/>
          </w:divBdr>
        </w:div>
        <w:div w:id="907155562">
          <w:marLeft w:val="547"/>
          <w:marRight w:val="0"/>
          <w:marTop w:val="101"/>
          <w:marBottom w:val="0"/>
          <w:divBdr>
            <w:top w:val="none" w:sz="0" w:space="0" w:color="auto"/>
            <w:left w:val="none" w:sz="0" w:space="0" w:color="auto"/>
            <w:bottom w:val="none" w:sz="0" w:space="0" w:color="auto"/>
            <w:right w:val="none" w:sz="0" w:space="0" w:color="auto"/>
          </w:divBdr>
        </w:div>
        <w:div w:id="1485273504">
          <w:marLeft w:val="547"/>
          <w:marRight w:val="0"/>
          <w:marTop w:val="101"/>
          <w:marBottom w:val="0"/>
          <w:divBdr>
            <w:top w:val="none" w:sz="0" w:space="0" w:color="auto"/>
            <w:left w:val="none" w:sz="0" w:space="0" w:color="auto"/>
            <w:bottom w:val="none" w:sz="0" w:space="0" w:color="auto"/>
            <w:right w:val="none" w:sz="0" w:space="0" w:color="auto"/>
          </w:divBdr>
        </w:div>
        <w:div w:id="1753967600">
          <w:marLeft w:val="547"/>
          <w:marRight w:val="0"/>
          <w:marTop w:val="101"/>
          <w:marBottom w:val="0"/>
          <w:divBdr>
            <w:top w:val="none" w:sz="0" w:space="0" w:color="auto"/>
            <w:left w:val="none" w:sz="0" w:space="0" w:color="auto"/>
            <w:bottom w:val="none" w:sz="0" w:space="0" w:color="auto"/>
            <w:right w:val="none" w:sz="0" w:space="0" w:color="auto"/>
          </w:divBdr>
        </w:div>
        <w:div w:id="1886941313">
          <w:marLeft w:val="547"/>
          <w:marRight w:val="0"/>
          <w:marTop w:val="101"/>
          <w:marBottom w:val="0"/>
          <w:divBdr>
            <w:top w:val="none" w:sz="0" w:space="0" w:color="auto"/>
            <w:left w:val="none" w:sz="0" w:space="0" w:color="auto"/>
            <w:bottom w:val="none" w:sz="0" w:space="0" w:color="auto"/>
            <w:right w:val="none" w:sz="0" w:space="0" w:color="auto"/>
          </w:divBdr>
        </w:div>
        <w:div w:id="2144229299">
          <w:marLeft w:val="547"/>
          <w:marRight w:val="0"/>
          <w:marTop w:val="101"/>
          <w:marBottom w:val="0"/>
          <w:divBdr>
            <w:top w:val="none" w:sz="0" w:space="0" w:color="auto"/>
            <w:left w:val="none" w:sz="0" w:space="0" w:color="auto"/>
            <w:bottom w:val="none" w:sz="0" w:space="0" w:color="auto"/>
            <w:right w:val="none" w:sz="0" w:space="0" w:color="auto"/>
          </w:divBdr>
        </w:div>
      </w:divsChild>
    </w:div>
    <w:div w:id="1377119154">
      <w:bodyDiv w:val="1"/>
      <w:marLeft w:val="0"/>
      <w:marRight w:val="0"/>
      <w:marTop w:val="0"/>
      <w:marBottom w:val="0"/>
      <w:divBdr>
        <w:top w:val="none" w:sz="0" w:space="0" w:color="auto"/>
        <w:left w:val="none" w:sz="0" w:space="0" w:color="auto"/>
        <w:bottom w:val="none" w:sz="0" w:space="0" w:color="auto"/>
        <w:right w:val="none" w:sz="0" w:space="0" w:color="auto"/>
      </w:divBdr>
      <w:divsChild>
        <w:div w:id="380791948">
          <w:marLeft w:val="547"/>
          <w:marRight w:val="0"/>
          <w:marTop w:val="0"/>
          <w:marBottom w:val="0"/>
          <w:divBdr>
            <w:top w:val="none" w:sz="0" w:space="0" w:color="auto"/>
            <w:left w:val="none" w:sz="0" w:space="0" w:color="auto"/>
            <w:bottom w:val="none" w:sz="0" w:space="0" w:color="auto"/>
            <w:right w:val="none" w:sz="0" w:space="0" w:color="auto"/>
          </w:divBdr>
        </w:div>
      </w:divsChild>
    </w:div>
    <w:div w:id="1594706301">
      <w:bodyDiv w:val="1"/>
      <w:marLeft w:val="0"/>
      <w:marRight w:val="0"/>
      <w:marTop w:val="0"/>
      <w:marBottom w:val="0"/>
      <w:divBdr>
        <w:top w:val="none" w:sz="0" w:space="0" w:color="auto"/>
        <w:left w:val="none" w:sz="0" w:space="0" w:color="auto"/>
        <w:bottom w:val="none" w:sz="0" w:space="0" w:color="auto"/>
        <w:right w:val="none" w:sz="0" w:space="0" w:color="auto"/>
      </w:divBdr>
      <w:divsChild>
        <w:div w:id="39209962">
          <w:marLeft w:val="547"/>
          <w:marRight w:val="0"/>
          <w:marTop w:val="0"/>
          <w:marBottom w:val="0"/>
          <w:divBdr>
            <w:top w:val="none" w:sz="0" w:space="0" w:color="auto"/>
            <w:left w:val="none" w:sz="0" w:space="0" w:color="auto"/>
            <w:bottom w:val="none" w:sz="0" w:space="0" w:color="auto"/>
            <w:right w:val="none" w:sz="0" w:space="0" w:color="auto"/>
          </w:divBdr>
        </w:div>
      </w:divsChild>
    </w:div>
    <w:div w:id="1972469584">
      <w:bodyDiv w:val="1"/>
      <w:marLeft w:val="0"/>
      <w:marRight w:val="0"/>
      <w:marTop w:val="0"/>
      <w:marBottom w:val="0"/>
      <w:divBdr>
        <w:top w:val="none" w:sz="0" w:space="0" w:color="auto"/>
        <w:left w:val="none" w:sz="0" w:space="0" w:color="auto"/>
        <w:bottom w:val="none" w:sz="0" w:space="0" w:color="auto"/>
        <w:right w:val="none" w:sz="0" w:space="0" w:color="auto"/>
      </w:divBdr>
      <w:divsChild>
        <w:div w:id="357196096">
          <w:marLeft w:val="547"/>
          <w:marRight w:val="0"/>
          <w:marTop w:val="0"/>
          <w:marBottom w:val="0"/>
          <w:divBdr>
            <w:top w:val="none" w:sz="0" w:space="0" w:color="auto"/>
            <w:left w:val="none" w:sz="0" w:space="0" w:color="auto"/>
            <w:bottom w:val="none" w:sz="0" w:space="0" w:color="auto"/>
            <w:right w:val="none" w:sz="0" w:space="0" w:color="auto"/>
          </w:divBdr>
        </w:div>
      </w:divsChild>
    </w:div>
    <w:div w:id="2121682339">
      <w:bodyDiv w:val="1"/>
      <w:marLeft w:val="0"/>
      <w:marRight w:val="0"/>
      <w:marTop w:val="0"/>
      <w:marBottom w:val="0"/>
      <w:divBdr>
        <w:top w:val="none" w:sz="0" w:space="0" w:color="auto"/>
        <w:left w:val="none" w:sz="0" w:space="0" w:color="auto"/>
        <w:bottom w:val="none" w:sz="0" w:space="0" w:color="auto"/>
        <w:right w:val="none" w:sz="0" w:space="0" w:color="auto"/>
      </w:divBdr>
      <w:divsChild>
        <w:div w:id="1376854265">
          <w:marLeft w:val="720"/>
          <w:marRight w:val="0"/>
          <w:marTop w:val="1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3.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2.xml"/><Relationship Id="rId27" Type="http://schemas.openxmlformats.org/officeDocument/2006/relationships/chart" Target="charts/chart17.xml"/></Relationships>
</file>

<file path=word/charts/_rels/chart1.xml.rels><?xml version="1.0" encoding="UTF-8" standalone="yes"?>
<Relationships xmlns="http://schemas.openxmlformats.org/package/2006/relationships"><Relationship Id="rId2" Type="http://schemas.openxmlformats.org/officeDocument/2006/relationships/oleObject" Target="file:///D:\Hamid\graphes%20agenda%202063.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D:\Hamid\graphes%20agenda%202063.xls"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D:\Hamid\graphes%20agenda%202063.xls"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D:\Hamid\graphes%20agenda%202063.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D:\Hamid\graphes%20agenda%202063.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D:\Hamid\graphes%20agenda%202063.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D:\Hamid\graphes%20agenda%202063.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D:\Hamid\graphes%20agenda%202063.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D:\Hamid\graphes%20agenda%202063.xlsx" TargetMode="External"/><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oleObject" Target="file:///D:\Hamid\graphes%20agenda%20206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Hamid\graphes%20agenda%20206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Hamid\graphes%20agenda%202063.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Hamid\graphes%20agenda%202063.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Hamid\graphes%20agenda%202063.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Hamid\graphes%20agenda%202063.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Hamid\graphes%20agenda%202063.xls"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D:\Hamid\graphes%20agenda%202063.xls"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fr-FR" sz="800"/>
            </a:pPr>
            <a:r>
              <a:rPr lang="en-US" sz="800"/>
              <a:t>Evolution du prix moyen du baril de pétrole</a:t>
            </a:r>
          </a:p>
        </c:rich>
      </c:tx>
      <c:overlay val="0"/>
    </c:title>
    <c:autoTitleDeleted val="0"/>
    <c:plotArea>
      <c:layout/>
      <c:lineChart>
        <c:grouping val="standard"/>
        <c:varyColors val="0"/>
        <c:ser>
          <c:idx val="0"/>
          <c:order val="0"/>
          <c:tx>
            <c:strRef>
              <c:f>'Prix baril'!$B$5</c:f>
              <c:strCache>
                <c:ptCount val="1"/>
                <c:pt idx="0">
                  <c:v>Prix baril</c:v>
                </c:pt>
              </c:strCache>
            </c:strRef>
          </c:tx>
          <c:trendline>
            <c:spPr>
              <a:ln w="38100">
                <a:solidFill>
                  <a:srgbClr val="FF0000"/>
                </a:solidFill>
              </a:ln>
            </c:spPr>
            <c:trendlineType val="linear"/>
            <c:dispRSqr val="0"/>
            <c:dispEq val="0"/>
          </c:trendline>
          <c:cat>
            <c:strRef>
              <c:f>'Prix baril'!$C$4:$I$4</c:f>
              <c:strCache>
                <c:ptCount val="7"/>
                <c:pt idx="0">
                  <c:v>2013</c:v>
                </c:pt>
                <c:pt idx="1">
                  <c:v>2014</c:v>
                </c:pt>
                <c:pt idx="2">
                  <c:v>2015</c:v>
                </c:pt>
                <c:pt idx="3">
                  <c:v>2016</c:v>
                </c:pt>
                <c:pt idx="4">
                  <c:v>2017</c:v>
                </c:pt>
                <c:pt idx="5">
                  <c:v>2018</c:v>
                </c:pt>
                <c:pt idx="6">
                  <c:v>9M2019</c:v>
                </c:pt>
              </c:strCache>
            </c:strRef>
          </c:cat>
          <c:val>
            <c:numRef>
              <c:f>'Prix baril'!$C$5:$I$5</c:f>
              <c:numCache>
                <c:formatCode>General</c:formatCode>
                <c:ptCount val="7"/>
                <c:pt idx="0">
                  <c:v>109</c:v>
                </c:pt>
                <c:pt idx="1">
                  <c:v>100.2</c:v>
                </c:pt>
                <c:pt idx="2">
                  <c:v>53.1</c:v>
                </c:pt>
                <c:pt idx="3">
                  <c:v>45</c:v>
                </c:pt>
                <c:pt idx="4">
                  <c:v>54.1</c:v>
                </c:pt>
                <c:pt idx="5">
                  <c:v>71.3</c:v>
                </c:pt>
                <c:pt idx="6">
                  <c:v>64.599999999999994</c:v>
                </c:pt>
              </c:numCache>
            </c:numRef>
          </c:val>
          <c:smooth val="0"/>
          <c:extLst>
            <c:ext xmlns:c16="http://schemas.microsoft.com/office/drawing/2014/chart" uri="{C3380CC4-5D6E-409C-BE32-E72D297353CC}">
              <c16:uniqueId val="{00000000-92BF-41B6-9FF7-1CCC593C8EC4}"/>
            </c:ext>
          </c:extLst>
        </c:ser>
        <c:dLbls>
          <c:showLegendKey val="0"/>
          <c:showVal val="0"/>
          <c:showCatName val="0"/>
          <c:showSerName val="0"/>
          <c:showPercent val="0"/>
          <c:showBubbleSize val="0"/>
        </c:dLbls>
        <c:marker val="1"/>
        <c:smooth val="0"/>
        <c:axId val="144526720"/>
        <c:axId val="144745984"/>
      </c:lineChart>
      <c:catAx>
        <c:axId val="144526720"/>
        <c:scaling>
          <c:orientation val="minMax"/>
        </c:scaling>
        <c:delete val="0"/>
        <c:axPos val="b"/>
        <c:numFmt formatCode="General" sourceLinked="0"/>
        <c:majorTickMark val="none"/>
        <c:minorTickMark val="none"/>
        <c:tickLblPos val="nextTo"/>
        <c:txPr>
          <a:bodyPr/>
          <a:lstStyle/>
          <a:p>
            <a:pPr>
              <a:defRPr lang="fr-FR" sz="700" b="1"/>
            </a:pPr>
            <a:endParaRPr lang="en-US"/>
          </a:p>
        </c:txPr>
        <c:crossAx val="144745984"/>
        <c:crosses val="autoZero"/>
        <c:auto val="1"/>
        <c:lblAlgn val="ctr"/>
        <c:lblOffset val="100"/>
        <c:noMultiLvlLbl val="0"/>
      </c:catAx>
      <c:valAx>
        <c:axId val="144745984"/>
        <c:scaling>
          <c:orientation val="minMax"/>
          <c:min val="40"/>
        </c:scaling>
        <c:delete val="0"/>
        <c:axPos val="l"/>
        <c:majorGridlines/>
        <c:title>
          <c:tx>
            <c:rich>
              <a:bodyPr/>
              <a:lstStyle/>
              <a:p>
                <a:pPr>
                  <a:defRPr lang="fr-FR"/>
                </a:pPr>
                <a:r>
                  <a:rPr lang="en-US"/>
                  <a:t>$ US / baril</a:t>
                </a:r>
              </a:p>
            </c:rich>
          </c:tx>
          <c:overlay val="0"/>
        </c:title>
        <c:numFmt formatCode="General" sourceLinked="1"/>
        <c:majorTickMark val="none"/>
        <c:minorTickMark val="none"/>
        <c:tickLblPos val="nextTo"/>
        <c:txPr>
          <a:bodyPr/>
          <a:lstStyle/>
          <a:p>
            <a:pPr>
              <a:defRPr lang="fr-FR" sz="700" b="1"/>
            </a:pPr>
            <a:endParaRPr lang="en-US"/>
          </a:p>
        </c:txPr>
        <c:crossAx val="144526720"/>
        <c:crosses val="autoZero"/>
        <c:crossBetween val="between"/>
      </c:valAx>
    </c:plotArea>
    <c:plotVisOnly val="1"/>
    <c:dispBlanksAs val="gap"/>
    <c:showDLblsOverMax val="0"/>
  </c:chart>
  <c:spPr>
    <a:ln w="31750">
      <a:solidFill>
        <a:srgbClr val="002060"/>
      </a:solid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fr-FR" sz="800"/>
            </a:pPr>
            <a:r>
              <a:rPr lang="fr-FR" sz="800"/>
              <a:t>Investissements</a:t>
            </a:r>
            <a:r>
              <a:rPr lang="fr-FR" sz="800" baseline="0"/>
              <a:t> directs nets et Emprunts MLT nets (milliards de US $)</a:t>
            </a:r>
            <a:endParaRPr lang="fr-FR" sz="8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067825896762941E-2"/>
          <c:y val="0.12030110819480867"/>
          <c:w val="0.88876618547681319"/>
          <c:h val="0.72286964129483988"/>
        </c:manualLayout>
      </c:layout>
      <c:bar3DChart>
        <c:barDir val="col"/>
        <c:grouping val="clustered"/>
        <c:varyColors val="0"/>
        <c:ser>
          <c:idx val="0"/>
          <c:order val="0"/>
          <c:tx>
            <c:strRef>
              <c:f>BOP!$B$59</c:f>
              <c:strCache>
                <c:ptCount val="1"/>
                <c:pt idx="0">
                  <c:v>Investissements directs (nets)</c:v>
                </c:pt>
              </c:strCache>
            </c:strRef>
          </c:tx>
          <c:invertIfNegative val="0"/>
          <c:cat>
            <c:numRef>
              <c:f>BOP!$C$58:$H$58</c:f>
              <c:numCache>
                <c:formatCode>General</c:formatCode>
                <c:ptCount val="6"/>
                <c:pt idx="0">
                  <c:v>2013</c:v>
                </c:pt>
                <c:pt idx="1">
                  <c:v>2014</c:v>
                </c:pt>
                <c:pt idx="2">
                  <c:v>2015</c:v>
                </c:pt>
                <c:pt idx="3">
                  <c:v>2016</c:v>
                </c:pt>
                <c:pt idx="4">
                  <c:v>2017</c:v>
                </c:pt>
                <c:pt idx="5">
                  <c:v>2018</c:v>
                </c:pt>
              </c:numCache>
            </c:numRef>
          </c:cat>
          <c:val>
            <c:numRef>
              <c:f>BOP!$C$59:$H$59</c:f>
              <c:numCache>
                <c:formatCode>General</c:formatCode>
                <c:ptCount val="6"/>
                <c:pt idx="0">
                  <c:v>1.9610000000000001</c:v>
                </c:pt>
                <c:pt idx="1">
                  <c:v>1.5249999999999961</c:v>
                </c:pt>
                <c:pt idx="2">
                  <c:v>-0.69099999999999995</c:v>
                </c:pt>
                <c:pt idx="3">
                  <c:v>1.4029999999999951</c:v>
                </c:pt>
                <c:pt idx="4">
                  <c:v>1.206</c:v>
                </c:pt>
                <c:pt idx="5">
                  <c:v>0.630000000000002</c:v>
                </c:pt>
              </c:numCache>
            </c:numRef>
          </c:val>
          <c:extLst>
            <c:ext xmlns:c16="http://schemas.microsoft.com/office/drawing/2014/chart" uri="{C3380CC4-5D6E-409C-BE32-E72D297353CC}">
              <c16:uniqueId val="{00000000-E6C9-4C6E-8FFB-63733D769CCE}"/>
            </c:ext>
          </c:extLst>
        </c:ser>
        <c:ser>
          <c:idx val="1"/>
          <c:order val="1"/>
          <c:tx>
            <c:strRef>
              <c:f>BOP!$B$60</c:f>
              <c:strCache>
                <c:ptCount val="1"/>
                <c:pt idx="0">
                  <c:v>Emprunts MLT nets (capitaux officiels nets)</c:v>
                </c:pt>
              </c:strCache>
            </c:strRef>
          </c:tx>
          <c:invertIfNegative val="0"/>
          <c:cat>
            <c:numRef>
              <c:f>BOP!$C$58:$H$58</c:f>
              <c:numCache>
                <c:formatCode>General</c:formatCode>
                <c:ptCount val="6"/>
                <c:pt idx="0">
                  <c:v>2013</c:v>
                </c:pt>
                <c:pt idx="1">
                  <c:v>2014</c:v>
                </c:pt>
                <c:pt idx="2">
                  <c:v>2015</c:v>
                </c:pt>
                <c:pt idx="3">
                  <c:v>2016</c:v>
                </c:pt>
                <c:pt idx="4">
                  <c:v>2017</c:v>
                </c:pt>
                <c:pt idx="5">
                  <c:v>2018</c:v>
                </c:pt>
              </c:numCache>
            </c:numRef>
          </c:cat>
          <c:val>
            <c:numRef>
              <c:f>BOP!$C$60:$H$60</c:f>
              <c:numCache>
                <c:formatCode>General</c:formatCode>
                <c:ptCount val="6"/>
                <c:pt idx="0">
                  <c:v>-0.38400000000000101</c:v>
                </c:pt>
                <c:pt idx="1">
                  <c:v>0.51700000000000002</c:v>
                </c:pt>
                <c:pt idx="2">
                  <c:v>-0.46</c:v>
                </c:pt>
                <c:pt idx="3">
                  <c:v>0.98</c:v>
                </c:pt>
                <c:pt idx="4">
                  <c:v>-6.6000000000000003E-2</c:v>
                </c:pt>
                <c:pt idx="5">
                  <c:v>0.15000000000000024</c:v>
                </c:pt>
              </c:numCache>
            </c:numRef>
          </c:val>
          <c:extLst>
            <c:ext xmlns:c16="http://schemas.microsoft.com/office/drawing/2014/chart" uri="{C3380CC4-5D6E-409C-BE32-E72D297353CC}">
              <c16:uniqueId val="{00000001-E6C9-4C6E-8FFB-63733D769CCE}"/>
            </c:ext>
          </c:extLst>
        </c:ser>
        <c:dLbls>
          <c:showLegendKey val="0"/>
          <c:showVal val="0"/>
          <c:showCatName val="0"/>
          <c:showSerName val="0"/>
          <c:showPercent val="0"/>
          <c:showBubbleSize val="0"/>
        </c:dLbls>
        <c:gapWidth val="150"/>
        <c:shape val="box"/>
        <c:axId val="154625152"/>
        <c:axId val="154626688"/>
        <c:axId val="0"/>
      </c:bar3DChart>
      <c:catAx>
        <c:axId val="154625152"/>
        <c:scaling>
          <c:orientation val="minMax"/>
        </c:scaling>
        <c:delete val="0"/>
        <c:axPos val="b"/>
        <c:numFmt formatCode="General" sourceLinked="1"/>
        <c:majorTickMark val="none"/>
        <c:minorTickMark val="none"/>
        <c:tickLblPos val="nextTo"/>
        <c:txPr>
          <a:bodyPr/>
          <a:lstStyle/>
          <a:p>
            <a:pPr>
              <a:defRPr lang="fr-FR" sz="800" b="1"/>
            </a:pPr>
            <a:endParaRPr lang="en-US"/>
          </a:p>
        </c:txPr>
        <c:crossAx val="154626688"/>
        <c:crosses val="autoZero"/>
        <c:auto val="1"/>
        <c:lblAlgn val="ctr"/>
        <c:lblOffset val="100"/>
        <c:noMultiLvlLbl val="0"/>
      </c:catAx>
      <c:valAx>
        <c:axId val="154626688"/>
        <c:scaling>
          <c:orientation val="minMax"/>
        </c:scaling>
        <c:delete val="0"/>
        <c:axPos val="l"/>
        <c:majorGridlines/>
        <c:numFmt formatCode="General" sourceLinked="1"/>
        <c:majorTickMark val="none"/>
        <c:minorTickMark val="none"/>
        <c:tickLblPos val="nextTo"/>
        <c:txPr>
          <a:bodyPr/>
          <a:lstStyle/>
          <a:p>
            <a:pPr>
              <a:defRPr lang="fr-FR" sz="800" b="1"/>
            </a:pPr>
            <a:endParaRPr lang="en-US"/>
          </a:p>
        </c:txPr>
        <c:crossAx val="154625152"/>
        <c:crosses val="autoZero"/>
        <c:crossBetween val="between"/>
      </c:valAx>
    </c:plotArea>
    <c:legend>
      <c:legendPos val="b"/>
      <c:overlay val="0"/>
      <c:txPr>
        <a:bodyPr/>
        <a:lstStyle/>
        <a:p>
          <a:pPr>
            <a:defRPr lang="fr-FR" sz="800" b="1"/>
          </a:pPr>
          <a:endParaRPr lang="en-US"/>
        </a:p>
      </c:txPr>
    </c:legend>
    <c:plotVisOnly val="1"/>
    <c:dispBlanksAs val="gap"/>
    <c:showDLblsOverMax val="0"/>
  </c:chart>
  <c:spPr>
    <a:ln w="31750">
      <a:solidFill>
        <a:srgbClr val="002060"/>
      </a:solid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fr-FR" sz="700"/>
            </a:pPr>
            <a:r>
              <a:rPr lang="fr-FR" sz="700"/>
              <a:t>compte</a:t>
            </a:r>
            <a:r>
              <a:rPr lang="fr-FR" sz="700" baseline="0"/>
              <a:t> courant et solde de la balance des paiements (milliards de US $)</a:t>
            </a:r>
            <a:endParaRPr lang="fr-FR" sz="7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BOP!$B$68</c:f>
              <c:strCache>
                <c:ptCount val="1"/>
                <c:pt idx="0">
                  <c:v>compte courant</c:v>
                </c:pt>
              </c:strCache>
            </c:strRef>
          </c:tx>
          <c:invertIfNegative val="0"/>
          <c:cat>
            <c:numRef>
              <c:f>BOP!$C$67:$H$67</c:f>
              <c:numCache>
                <c:formatCode>General</c:formatCode>
                <c:ptCount val="6"/>
                <c:pt idx="0">
                  <c:v>2013</c:v>
                </c:pt>
                <c:pt idx="1">
                  <c:v>2014</c:v>
                </c:pt>
                <c:pt idx="2">
                  <c:v>2015</c:v>
                </c:pt>
                <c:pt idx="3">
                  <c:v>2016</c:v>
                </c:pt>
                <c:pt idx="4">
                  <c:v>2017</c:v>
                </c:pt>
                <c:pt idx="5">
                  <c:v>2018</c:v>
                </c:pt>
              </c:numCache>
            </c:numRef>
          </c:cat>
          <c:val>
            <c:numRef>
              <c:f>BOP!$C$68:$H$68</c:f>
              <c:numCache>
                <c:formatCode>0.0</c:formatCode>
                <c:ptCount val="6"/>
                <c:pt idx="0">
                  <c:v>1.1499999999999961</c:v>
                </c:pt>
                <c:pt idx="1">
                  <c:v>-9.277000000000001</c:v>
                </c:pt>
                <c:pt idx="2">
                  <c:v>-27.284999999999989</c:v>
                </c:pt>
                <c:pt idx="3">
                  <c:v>-26.224</c:v>
                </c:pt>
                <c:pt idx="4">
                  <c:v>-22.093</c:v>
                </c:pt>
                <c:pt idx="5">
                  <c:v>-16.690000000000001</c:v>
                </c:pt>
              </c:numCache>
            </c:numRef>
          </c:val>
          <c:extLst>
            <c:ext xmlns:c16="http://schemas.microsoft.com/office/drawing/2014/chart" uri="{C3380CC4-5D6E-409C-BE32-E72D297353CC}">
              <c16:uniqueId val="{00000000-6AB3-442A-907D-DB9092BFE96B}"/>
            </c:ext>
          </c:extLst>
        </c:ser>
        <c:ser>
          <c:idx val="1"/>
          <c:order val="1"/>
          <c:tx>
            <c:strRef>
              <c:f>BOP!$B$69</c:f>
              <c:strCache>
                <c:ptCount val="1"/>
                <c:pt idx="0">
                  <c:v>solde Balance de Paiements</c:v>
                </c:pt>
              </c:strCache>
            </c:strRef>
          </c:tx>
          <c:invertIfNegative val="0"/>
          <c:cat>
            <c:numRef>
              <c:f>BOP!$C$67:$H$67</c:f>
              <c:numCache>
                <c:formatCode>General</c:formatCode>
                <c:ptCount val="6"/>
                <c:pt idx="0">
                  <c:v>2013</c:v>
                </c:pt>
                <c:pt idx="1">
                  <c:v>2014</c:v>
                </c:pt>
                <c:pt idx="2">
                  <c:v>2015</c:v>
                </c:pt>
                <c:pt idx="3">
                  <c:v>2016</c:v>
                </c:pt>
                <c:pt idx="4">
                  <c:v>2017</c:v>
                </c:pt>
                <c:pt idx="5">
                  <c:v>2018</c:v>
                </c:pt>
              </c:numCache>
            </c:numRef>
          </c:cat>
          <c:val>
            <c:numRef>
              <c:f>BOP!$C$69:$H$69</c:f>
              <c:numCache>
                <c:formatCode>0.0</c:formatCode>
                <c:ptCount val="6"/>
                <c:pt idx="0">
                  <c:v>0.13</c:v>
                </c:pt>
                <c:pt idx="1">
                  <c:v>-5.8780000000000001</c:v>
                </c:pt>
                <c:pt idx="2">
                  <c:v>-27.536000000000001</c:v>
                </c:pt>
                <c:pt idx="3">
                  <c:v>-25.940999999999939</c:v>
                </c:pt>
                <c:pt idx="4">
                  <c:v>-21.763000000000002</c:v>
                </c:pt>
                <c:pt idx="5">
                  <c:v>-15.81</c:v>
                </c:pt>
              </c:numCache>
            </c:numRef>
          </c:val>
          <c:extLst>
            <c:ext xmlns:c16="http://schemas.microsoft.com/office/drawing/2014/chart" uri="{C3380CC4-5D6E-409C-BE32-E72D297353CC}">
              <c16:uniqueId val="{00000001-6AB3-442A-907D-DB9092BFE96B}"/>
            </c:ext>
          </c:extLst>
        </c:ser>
        <c:dLbls>
          <c:showLegendKey val="0"/>
          <c:showVal val="0"/>
          <c:showCatName val="0"/>
          <c:showSerName val="0"/>
          <c:showPercent val="0"/>
          <c:showBubbleSize val="0"/>
        </c:dLbls>
        <c:gapWidth val="150"/>
        <c:shape val="box"/>
        <c:axId val="154656128"/>
        <c:axId val="154739840"/>
        <c:axId val="0"/>
      </c:bar3DChart>
      <c:catAx>
        <c:axId val="154656128"/>
        <c:scaling>
          <c:orientation val="minMax"/>
        </c:scaling>
        <c:delete val="0"/>
        <c:axPos val="b"/>
        <c:numFmt formatCode="General" sourceLinked="1"/>
        <c:majorTickMark val="none"/>
        <c:minorTickMark val="none"/>
        <c:tickLblPos val="nextTo"/>
        <c:txPr>
          <a:bodyPr/>
          <a:lstStyle/>
          <a:p>
            <a:pPr>
              <a:defRPr lang="fr-FR" sz="800" b="1"/>
            </a:pPr>
            <a:endParaRPr lang="en-US"/>
          </a:p>
        </c:txPr>
        <c:crossAx val="154739840"/>
        <c:crosses val="autoZero"/>
        <c:auto val="1"/>
        <c:lblAlgn val="ctr"/>
        <c:lblOffset val="100"/>
        <c:noMultiLvlLbl val="0"/>
      </c:catAx>
      <c:valAx>
        <c:axId val="154739840"/>
        <c:scaling>
          <c:orientation val="minMax"/>
        </c:scaling>
        <c:delete val="0"/>
        <c:axPos val="l"/>
        <c:majorGridlines/>
        <c:numFmt formatCode="0.0" sourceLinked="1"/>
        <c:majorTickMark val="none"/>
        <c:minorTickMark val="none"/>
        <c:tickLblPos val="nextTo"/>
        <c:txPr>
          <a:bodyPr/>
          <a:lstStyle/>
          <a:p>
            <a:pPr>
              <a:defRPr lang="fr-FR" sz="800" b="1"/>
            </a:pPr>
            <a:endParaRPr lang="en-US"/>
          </a:p>
        </c:txPr>
        <c:crossAx val="154656128"/>
        <c:crosses val="autoZero"/>
        <c:crossBetween val="between"/>
      </c:valAx>
    </c:plotArea>
    <c:legend>
      <c:legendPos val="b"/>
      <c:overlay val="0"/>
      <c:txPr>
        <a:bodyPr/>
        <a:lstStyle/>
        <a:p>
          <a:pPr>
            <a:defRPr lang="fr-FR" sz="800" b="1"/>
          </a:pPr>
          <a:endParaRPr lang="en-US"/>
        </a:p>
      </c:txPr>
    </c:legend>
    <c:plotVisOnly val="1"/>
    <c:dispBlanksAs val="gap"/>
    <c:showDLblsOverMax val="0"/>
  </c:chart>
  <c:spPr>
    <a:ln w="31750">
      <a:solidFill>
        <a:srgbClr val="002060"/>
      </a:solid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fr-FR" sz="600" b="1"/>
            </a:pPr>
            <a:r>
              <a:rPr lang="en-US" sz="600" b="1"/>
              <a:t>Evolution de la population algérienne résidente</a:t>
            </a:r>
            <a:r>
              <a:rPr lang="en-US" sz="600" b="1" baseline="0"/>
              <a:t> au milieu de l'année </a:t>
            </a:r>
          </a:p>
          <a:p>
            <a:pPr>
              <a:defRPr lang="fr-FR" sz="600" b="1"/>
            </a:pPr>
            <a:r>
              <a:rPr lang="en-US" sz="600" b="1" baseline="0"/>
              <a:t>(en milliers)</a:t>
            </a:r>
            <a:endParaRPr lang="en-US" sz="600" b="1"/>
          </a:p>
        </c:rich>
      </c:tx>
      <c:overlay val="0"/>
    </c:title>
    <c:autoTitleDeleted val="0"/>
    <c:plotArea>
      <c:layout/>
      <c:lineChart>
        <c:grouping val="standard"/>
        <c:varyColors val="0"/>
        <c:ser>
          <c:idx val="0"/>
          <c:order val="0"/>
          <c:tx>
            <c:strRef>
              <c:f>Population!$A$80</c:f>
              <c:strCache>
                <c:ptCount val="1"/>
                <c:pt idx="0">
                  <c:v>Population</c:v>
                </c:pt>
              </c:strCache>
            </c:strRef>
          </c:tx>
          <c:marker>
            <c:symbol val="none"/>
          </c:marker>
          <c:cat>
            <c:numRef>
              <c:f>Population!$B$79:$G$79</c:f>
              <c:numCache>
                <c:formatCode>General</c:formatCode>
                <c:ptCount val="6"/>
                <c:pt idx="0">
                  <c:v>2013</c:v>
                </c:pt>
                <c:pt idx="1">
                  <c:v>2014</c:v>
                </c:pt>
                <c:pt idx="2">
                  <c:v>2015</c:v>
                </c:pt>
                <c:pt idx="3">
                  <c:v>2016</c:v>
                </c:pt>
                <c:pt idx="4">
                  <c:v>2017</c:v>
                </c:pt>
                <c:pt idx="5">
                  <c:v>2018</c:v>
                </c:pt>
              </c:numCache>
            </c:numRef>
          </c:cat>
          <c:val>
            <c:numRef>
              <c:f>Population!$B$80:$G$80</c:f>
              <c:numCache>
                <c:formatCode>#,##0</c:formatCode>
                <c:ptCount val="6"/>
                <c:pt idx="0">
                  <c:v>38297</c:v>
                </c:pt>
                <c:pt idx="1">
                  <c:v>39114</c:v>
                </c:pt>
                <c:pt idx="2">
                  <c:v>39963</c:v>
                </c:pt>
                <c:pt idx="3">
                  <c:v>40836</c:v>
                </c:pt>
                <c:pt idx="4">
                  <c:v>41721</c:v>
                </c:pt>
                <c:pt idx="5">
                  <c:v>42578</c:v>
                </c:pt>
              </c:numCache>
            </c:numRef>
          </c:val>
          <c:smooth val="0"/>
          <c:extLst>
            <c:ext xmlns:c16="http://schemas.microsoft.com/office/drawing/2014/chart" uri="{C3380CC4-5D6E-409C-BE32-E72D297353CC}">
              <c16:uniqueId val="{00000000-A266-4D1E-AF7D-F98C04745E11}"/>
            </c:ext>
          </c:extLst>
        </c:ser>
        <c:dLbls>
          <c:showLegendKey val="0"/>
          <c:showVal val="0"/>
          <c:showCatName val="0"/>
          <c:showSerName val="0"/>
          <c:showPercent val="0"/>
          <c:showBubbleSize val="0"/>
        </c:dLbls>
        <c:smooth val="0"/>
        <c:axId val="156046080"/>
        <c:axId val="156047616"/>
      </c:lineChart>
      <c:catAx>
        <c:axId val="156046080"/>
        <c:scaling>
          <c:orientation val="minMax"/>
        </c:scaling>
        <c:delete val="0"/>
        <c:axPos val="b"/>
        <c:numFmt formatCode="General" sourceLinked="1"/>
        <c:majorTickMark val="out"/>
        <c:minorTickMark val="none"/>
        <c:tickLblPos val="nextTo"/>
        <c:txPr>
          <a:bodyPr/>
          <a:lstStyle/>
          <a:p>
            <a:pPr>
              <a:defRPr lang="fr-FR" sz="800" b="1"/>
            </a:pPr>
            <a:endParaRPr lang="en-US"/>
          </a:p>
        </c:txPr>
        <c:crossAx val="156047616"/>
        <c:crosses val="autoZero"/>
        <c:auto val="1"/>
        <c:lblAlgn val="ctr"/>
        <c:lblOffset val="100"/>
        <c:noMultiLvlLbl val="0"/>
      </c:catAx>
      <c:valAx>
        <c:axId val="156047616"/>
        <c:scaling>
          <c:orientation val="minMax"/>
          <c:min val="38000"/>
        </c:scaling>
        <c:delete val="0"/>
        <c:axPos val="l"/>
        <c:majorGridlines/>
        <c:numFmt formatCode="#,##0" sourceLinked="1"/>
        <c:majorTickMark val="out"/>
        <c:minorTickMark val="none"/>
        <c:tickLblPos val="nextTo"/>
        <c:txPr>
          <a:bodyPr/>
          <a:lstStyle/>
          <a:p>
            <a:pPr>
              <a:defRPr lang="fr-FR" sz="800" b="1"/>
            </a:pPr>
            <a:endParaRPr lang="en-US"/>
          </a:p>
        </c:txPr>
        <c:crossAx val="156046080"/>
        <c:crosses val="autoZero"/>
        <c:crossBetween val="between"/>
      </c:valAx>
    </c:plotArea>
    <c:plotVisOnly val="1"/>
    <c:dispBlanksAs val="gap"/>
    <c:showDLblsOverMax val="0"/>
  </c:chart>
  <c:spPr>
    <a:ln w="31750">
      <a:solidFill>
        <a:srgbClr val="002060"/>
      </a:solid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fr-FR" sz="800"/>
            </a:pPr>
            <a:r>
              <a:rPr lang="fr-FR" sz="800"/>
              <a:t>Evolution du Taux (%) d'Accroissement Naturel de la population</a:t>
            </a:r>
          </a:p>
          <a:p>
            <a:pPr>
              <a:defRPr lang="fr-FR" sz="800"/>
            </a:pPr>
            <a:endParaRPr lang="fr-FR" sz="800"/>
          </a:p>
        </c:rich>
      </c:tx>
      <c:overlay val="0"/>
    </c:title>
    <c:autoTitleDeleted val="0"/>
    <c:plotArea>
      <c:layout>
        <c:manualLayout>
          <c:layoutTarget val="inner"/>
          <c:xMode val="edge"/>
          <c:yMode val="edge"/>
          <c:x val="0.15257702176347784"/>
          <c:y val="0.20382336440066914"/>
          <c:w val="0.79772118897210853"/>
          <c:h val="0.50328417330014286"/>
        </c:manualLayout>
      </c:layout>
      <c:lineChart>
        <c:grouping val="standard"/>
        <c:varyColors val="0"/>
        <c:ser>
          <c:idx val="0"/>
          <c:order val="0"/>
          <c:tx>
            <c:strRef>
              <c:f>Population!$A$85</c:f>
              <c:strCache>
                <c:ptCount val="1"/>
                <c:pt idx="0">
                  <c:v>TAN</c:v>
                </c:pt>
              </c:strCache>
            </c:strRef>
          </c:tx>
          <c:trendline>
            <c:spPr>
              <a:ln w="25400">
                <a:solidFill>
                  <a:srgbClr val="FF0000"/>
                </a:solidFill>
              </a:ln>
            </c:spPr>
            <c:trendlineType val="linear"/>
            <c:dispRSqr val="0"/>
            <c:dispEq val="0"/>
          </c:trendline>
          <c:cat>
            <c:numRef>
              <c:f>Population!$B$84:$G$84</c:f>
              <c:numCache>
                <c:formatCode>General</c:formatCode>
                <c:ptCount val="6"/>
                <c:pt idx="0">
                  <c:v>2013</c:v>
                </c:pt>
                <c:pt idx="1">
                  <c:v>2014</c:v>
                </c:pt>
                <c:pt idx="2">
                  <c:v>2015</c:v>
                </c:pt>
                <c:pt idx="3">
                  <c:v>2016</c:v>
                </c:pt>
                <c:pt idx="4">
                  <c:v>2017</c:v>
                </c:pt>
                <c:pt idx="5">
                  <c:v>2018</c:v>
                </c:pt>
              </c:numCache>
            </c:numRef>
          </c:cat>
          <c:val>
            <c:numRef>
              <c:f>Population!$B$85:$G$85</c:f>
              <c:numCache>
                <c:formatCode>#,##0.00</c:formatCode>
                <c:ptCount val="6"/>
                <c:pt idx="0">
                  <c:v>2.0699999999999998</c:v>
                </c:pt>
                <c:pt idx="1">
                  <c:v>2.15</c:v>
                </c:pt>
                <c:pt idx="2">
                  <c:v>2.15</c:v>
                </c:pt>
                <c:pt idx="3">
                  <c:v>2.17</c:v>
                </c:pt>
                <c:pt idx="4">
                  <c:v>2.09</c:v>
                </c:pt>
                <c:pt idx="5">
                  <c:v>1.9900000000000038</c:v>
                </c:pt>
              </c:numCache>
            </c:numRef>
          </c:val>
          <c:smooth val="0"/>
          <c:extLst>
            <c:ext xmlns:c16="http://schemas.microsoft.com/office/drawing/2014/chart" uri="{C3380CC4-5D6E-409C-BE32-E72D297353CC}">
              <c16:uniqueId val="{00000000-5974-4765-9FC0-7D25F1F18B2F}"/>
            </c:ext>
          </c:extLst>
        </c:ser>
        <c:dLbls>
          <c:showLegendKey val="0"/>
          <c:showVal val="0"/>
          <c:showCatName val="0"/>
          <c:showSerName val="0"/>
          <c:showPercent val="0"/>
          <c:showBubbleSize val="0"/>
        </c:dLbls>
        <c:marker val="1"/>
        <c:smooth val="0"/>
        <c:axId val="156150016"/>
        <c:axId val="156811264"/>
      </c:lineChart>
      <c:catAx>
        <c:axId val="156150016"/>
        <c:scaling>
          <c:orientation val="minMax"/>
        </c:scaling>
        <c:delete val="0"/>
        <c:axPos val="b"/>
        <c:numFmt formatCode="General" sourceLinked="1"/>
        <c:majorTickMark val="out"/>
        <c:minorTickMark val="none"/>
        <c:tickLblPos val="nextTo"/>
        <c:txPr>
          <a:bodyPr/>
          <a:lstStyle/>
          <a:p>
            <a:pPr>
              <a:defRPr lang="fr-FR" sz="800" b="1"/>
            </a:pPr>
            <a:endParaRPr lang="en-US"/>
          </a:p>
        </c:txPr>
        <c:crossAx val="156811264"/>
        <c:crosses val="autoZero"/>
        <c:auto val="1"/>
        <c:lblAlgn val="ctr"/>
        <c:lblOffset val="100"/>
        <c:noMultiLvlLbl val="0"/>
      </c:catAx>
      <c:valAx>
        <c:axId val="156811264"/>
        <c:scaling>
          <c:orientation val="minMax"/>
          <c:max val="2.1800000000000002"/>
          <c:min val="1.9800000000000042"/>
        </c:scaling>
        <c:delete val="0"/>
        <c:axPos val="l"/>
        <c:majorGridlines/>
        <c:numFmt formatCode="#,##0.00" sourceLinked="1"/>
        <c:majorTickMark val="out"/>
        <c:minorTickMark val="none"/>
        <c:tickLblPos val="nextTo"/>
        <c:txPr>
          <a:bodyPr/>
          <a:lstStyle/>
          <a:p>
            <a:pPr>
              <a:defRPr lang="fr-FR" sz="800"/>
            </a:pPr>
            <a:endParaRPr lang="en-US"/>
          </a:p>
        </c:txPr>
        <c:crossAx val="156150016"/>
        <c:crosses val="autoZero"/>
        <c:crossBetween val="between"/>
      </c:valAx>
    </c:plotArea>
    <c:legend>
      <c:legendPos val="b"/>
      <c:overlay val="0"/>
      <c:txPr>
        <a:bodyPr/>
        <a:lstStyle/>
        <a:p>
          <a:pPr>
            <a:defRPr lang="fr-FR" sz="800"/>
          </a:pPr>
          <a:endParaRPr lang="en-US"/>
        </a:p>
      </c:txPr>
    </c:legend>
    <c:plotVisOnly val="1"/>
    <c:dispBlanksAs val="gap"/>
    <c:showDLblsOverMax val="0"/>
  </c:chart>
  <c:spPr>
    <a:ln w="31750">
      <a:solidFill>
        <a:srgbClr val="002060"/>
      </a:solidFill>
    </a:ln>
  </c:spPr>
  <c:txPr>
    <a:bodyPr/>
    <a:lstStyle/>
    <a:p>
      <a:pPr>
        <a:defRPr sz="900" b="1"/>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fr-FR" sz="700"/>
            </a:pPr>
            <a:r>
              <a:rPr lang="fr-FR" sz="700" b="1"/>
              <a:t>Evolution des taux de mortalité (en ‰)</a:t>
            </a:r>
          </a:p>
        </c:rich>
      </c:tx>
      <c:overlay val="0"/>
    </c:title>
    <c:autoTitleDeleted val="0"/>
    <c:plotArea>
      <c:layout>
        <c:manualLayout>
          <c:layoutTarget val="inner"/>
          <c:xMode val="edge"/>
          <c:yMode val="edge"/>
          <c:x val="0.12865680063607685"/>
          <c:y val="0.18386498789100708"/>
          <c:w val="0.82015660094605436"/>
          <c:h val="0.47357957066960965"/>
        </c:manualLayout>
      </c:layout>
      <c:lineChart>
        <c:grouping val="standard"/>
        <c:varyColors val="0"/>
        <c:ser>
          <c:idx val="0"/>
          <c:order val="0"/>
          <c:tx>
            <c:strRef>
              <c:f>Population!$A$100</c:f>
              <c:strCache>
                <c:ptCount val="1"/>
                <c:pt idx="0">
                  <c:v>Mortalité Infantile</c:v>
                </c:pt>
              </c:strCache>
            </c:strRef>
          </c:tx>
          <c:cat>
            <c:numRef>
              <c:f>Population!$B$99:$G$99</c:f>
              <c:numCache>
                <c:formatCode>General</c:formatCode>
                <c:ptCount val="6"/>
                <c:pt idx="0">
                  <c:v>2013</c:v>
                </c:pt>
                <c:pt idx="1">
                  <c:v>2014</c:v>
                </c:pt>
                <c:pt idx="2">
                  <c:v>2015</c:v>
                </c:pt>
                <c:pt idx="3">
                  <c:v>2016</c:v>
                </c:pt>
                <c:pt idx="4">
                  <c:v>2017</c:v>
                </c:pt>
                <c:pt idx="5">
                  <c:v>2018</c:v>
                </c:pt>
              </c:numCache>
            </c:numRef>
          </c:cat>
          <c:val>
            <c:numRef>
              <c:f>Population!$B$100:$G$100</c:f>
              <c:numCache>
                <c:formatCode>General</c:formatCode>
                <c:ptCount val="6"/>
                <c:pt idx="0">
                  <c:v>22.4</c:v>
                </c:pt>
                <c:pt idx="1">
                  <c:v>22</c:v>
                </c:pt>
                <c:pt idx="2">
                  <c:v>22.3</c:v>
                </c:pt>
                <c:pt idx="3">
                  <c:v>20.9</c:v>
                </c:pt>
                <c:pt idx="4">
                  <c:v>21</c:v>
                </c:pt>
                <c:pt idx="5">
                  <c:v>21</c:v>
                </c:pt>
              </c:numCache>
            </c:numRef>
          </c:val>
          <c:smooth val="0"/>
          <c:extLst>
            <c:ext xmlns:c16="http://schemas.microsoft.com/office/drawing/2014/chart" uri="{C3380CC4-5D6E-409C-BE32-E72D297353CC}">
              <c16:uniqueId val="{00000000-7527-4350-A1A8-C3015EAC868C}"/>
            </c:ext>
          </c:extLst>
        </c:ser>
        <c:ser>
          <c:idx val="1"/>
          <c:order val="1"/>
          <c:tx>
            <c:strRef>
              <c:f>Population!$A$101</c:f>
              <c:strCache>
                <c:ptCount val="1"/>
                <c:pt idx="0">
                  <c:v>Mortalité infanto-juvénile </c:v>
                </c:pt>
              </c:strCache>
            </c:strRef>
          </c:tx>
          <c:cat>
            <c:numRef>
              <c:f>Population!$B$99:$G$99</c:f>
              <c:numCache>
                <c:formatCode>General</c:formatCode>
                <c:ptCount val="6"/>
                <c:pt idx="0">
                  <c:v>2013</c:v>
                </c:pt>
                <c:pt idx="1">
                  <c:v>2014</c:v>
                </c:pt>
                <c:pt idx="2">
                  <c:v>2015</c:v>
                </c:pt>
                <c:pt idx="3">
                  <c:v>2016</c:v>
                </c:pt>
                <c:pt idx="4">
                  <c:v>2017</c:v>
                </c:pt>
                <c:pt idx="5">
                  <c:v>2018</c:v>
                </c:pt>
              </c:numCache>
            </c:numRef>
          </c:cat>
          <c:val>
            <c:numRef>
              <c:f>Population!$B$101:$G$101</c:f>
              <c:numCache>
                <c:formatCode>General</c:formatCode>
                <c:ptCount val="6"/>
                <c:pt idx="0">
                  <c:v>26.1</c:v>
                </c:pt>
                <c:pt idx="1">
                  <c:v>25.6</c:v>
                </c:pt>
                <c:pt idx="2">
                  <c:v>25.7</c:v>
                </c:pt>
                <c:pt idx="3">
                  <c:v>24</c:v>
                </c:pt>
                <c:pt idx="4">
                  <c:v>24</c:v>
                </c:pt>
                <c:pt idx="5">
                  <c:v>24.2</c:v>
                </c:pt>
              </c:numCache>
            </c:numRef>
          </c:val>
          <c:smooth val="0"/>
          <c:extLst>
            <c:ext xmlns:c16="http://schemas.microsoft.com/office/drawing/2014/chart" uri="{C3380CC4-5D6E-409C-BE32-E72D297353CC}">
              <c16:uniqueId val="{00000001-7527-4350-A1A8-C3015EAC868C}"/>
            </c:ext>
          </c:extLst>
        </c:ser>
        <c:ser>
          <c:idx val="2"/>
          <c:order val="2"/>
          <c:tx>
            <c:strRef>
              <c:f>Population!$A$102</c:f>
              <c:strCache>
                <c:ptCount val="1"/>
                <c:pt idx="0">
                  <c:v>Mortinatalité</c:v>
                </c:pt>
              </c:strCache>
            </c:strRef>
          </c:tx>
          <c:cat>
            <c:numRef>
              <c:f>Population!$B$99:$G$99</c:f>
              <c:numCache>
                <c:formatCode>General</c:formatCode>
                <c:ptCount val="6"/>
                <c:pt idx="0">
                  <c:v>2013</c:v>
                </c:pt>
                <c:pt idx="1">
                  <c:v>2014</c:v>
                </c:pt>
                <c:pt idx="2">
                  <c:v>2015</c:v>
                </c:pt>
                <c:pt idx="3">
                  <c:v>2016</c:v>
                </c:pt>
                <c:pt idx="4">
                  <c:v>2017</c:v>
                </c:pt>
                <c:pt idx="5">
                  <c:v>2018</c:v>
                </c:pt>
              </c:numCache>
            </c:numRef>
          </c:cat>
          <c:val>
            <c:numRef>
              <c:f>Population!$B$102:$G$102</c:f>
              <c:numCache>
                <c:formatCode>General</c:formatCode>
                <c:ptCount val="6"/>
                <c:pt idx="0">
                  <c:v>15.4</c:v>
                </c:pt>
                <c:pt idx="1">
                  <c:v>14.6</c:v>
                </c:pt>
                <c:pt idx="2">
                  <c:v>13.9</c:v>
                </c:pt>
                <c:pt idx="3">
                  <c:v>13.2</c:v>
                </c:pt>
                <c:pt idx="4">
                  <c:v>12.5</c:v>
                </c:pt>
                <c:pt idx="5">
                  <c:v>12.1</c:v>
                </c:pt>
              </c:numCache>
            </c:numRef>
          </c:val>
          <c:smooth val="0"/>
          <c:extLst>
            <c:ext xmlns:c16="http://schemas.microsoft.com/office/drawing/2014/chart" uri="{C3380CC4-5D6E-409C-BE32-E72D297353CC}">
              <c16:uniqueId val="{00000002-7527-4350-A1A8-C3015EAC868C}"/>
            </c:ext>
          </c:extLst>
        </c:ser>
        <c:dLbls>
          <c:showLegendKey val="0"/>
          <c:showVal val="0"/>
          <c:showCatName val="0"/>
          <c:showSerName val="0"/>
          <c:showPercent val="0"/>
          <c:showBubbleSize val="0"/>
        </c:dLbls>
        <c:marker val="1"/>
        <c:smooth val="0"/>
        <c:axId val="157435008"/>
        <c:axId val="157436544"/>
      </c:lineChart>
      <c:catAx>
        <c:axId val="157435008"/>
        <c:scaling>
          <c:orientation val="minMax"/>
        </c:scaling>
        <c:delete val="0"/>
        <c:axPos val="b"/>
        <c:numFmt formatCode="General" sourceLinked="1"/>
        <c:majorTickMark val="none"/>
        <c:minorTickMark val="none"/>
        <c:tickLblPos val="nextTo"/>
        <c:txPr>
          <a:bodyPr/>
          <a:lstStyle/>
          <a:p>
            <a:pPr>
              <a:defRPr lang="fr-FR" sz="800" b="1"/>
            </a:pPr>
            <a:endParaRPr lang="en-US"/>
          </a:p>
        </c:txPr>
        <c:crossAx val="157436544"/>
        <c:crosses val="autoZero"/>
        <c:auto val="1"/>
        <c:lblAlgn val="ctr"/>
        <c:lblOffset val="100"/>
        <c:noMultiLvlLbl val="0"/>
      </c:catAx>
      <c:valAx>
        <c:axId val="157436544"/>
        <c:scaling>
          <c:orientation val="minMax"/>
          <c:min val="11"/>
        </c:scaling>
        <c:delete val="0"/>
        <c:axPos val="l"/>
        <c:majorGridlines/>
        <c:numFmt formatCode="General" sourceLinked="1"/>
        <c:majorTickMark val="none"/>
        <c:minorTickMark val="none"/>
        <c:tickLblPos val="nextTo"/>
        <c:txPr>
          <a:bodyPr/>
          <a:lstStyle/>
          <a:p>
            <a:pPr>
              <a:defRPr lang="fr-FR" sz="800" b="1"/>
            </a:pPr>
            <a:endParaRPr lang="en-US"/>
          </a:p>
        </c:txPr>
        <c:crossAx val="157435008"/>
        <c:crosses val="autoZero"/>
        <c:crossBetween val="between"/>
      </c:valAx>
    </c:plotArea>
    <c:legend>
      <c:legendPos val="b"/>
      <c:layout>
        <c:manualLayout>
          <c:xMode val="edge"/>
          <c:yMode val="edge"/>
          <c:x val="5.9911403582695512E-2"/>
          <c:y val="0.78178198739650295"/>
          <c:w val="0.88948348068869243"/>
          <c:h val="0.17957066960832788"/>
        </c:manualLayout>
      </c:layout>
      <c:overlay val="0"/>
      <c:txPr>
        <a:bodyPr/>
        <a:lstStyle/>
        <a:p>
          <a:pPr>
            <a:defRPr lang="fr-FR" sz="700" b="1"/>
          </a:pPr>
          <a:endParaRPr lang="en-US"/>
        </a:p>
      </c:txPr>
    </c:legend>
    <c:plotVisOnly val="1"/>
    <c:dispBlanksAs val="gap"/>
    <c:showDLblsOverMax val="0"/>
  </c:chart>
  <c:spPr>
    <a:ln w="31750">
      <a:solidFill>
        <a:srgbClr val="002060"/>
      </a:solid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fr-FR"/>
            </a:pPr>
            <a:r>
              <a:rPr lang="fr-FR"/>
              <a:t>Evolution de l'Espérance de vie à la naissance (en années)</a:t>
            </a:r>
          </a:p>
        </c:rich>
      </c:tx>
      <c:overlay val="0"/>
    </c:title>
    <c:autoTitleDeleted val="0"/>
    <c:plotArea>
      <c:layout>
        <c:manualLayout>
          <c:layoutTarget val="inner"/>
          <c:xMode val="edge"/>
          <c:yMode val="edge"/>
          <c:x val="0.15689704095675999"/>
          <c:y val="0.21172998893397271"/>
          <c:w val="0.79188776209752809"/>
          <c:h val="0.52409499163028861"/>
        </c:manualLayout>
      </c:layout>
      <c:lineChart>
        <c:grouping val="standard"/>
        <c:varyColors val="0"/>
        <c:ser>
          <c:idx val="0"/>
          <c:order val="0"/>
          <c:tx>
            <c:strRef>
              <c:f>Population!$A$111</c:f>
              <c:strCache>
                <c:ptCount val="1"/>
                <c:pt idx="0">
                  <c:v>Hommes</c:v>
                </c:pt>
              </c:strCache>
            </c:strRef>
          </c:tx>
          <c:cat>
            <c:numRef>
              <c:f>Population!$B$110:$G$110</c:f>
              <c:numCache>
                <c:formatCode>General</c:formatCode>
                <c:ptCount val="6"/>
                <c:pt idx="0">
                  <c:v>2013</c:v>
                </c:pt>
                <c:pt idx="1">
                  <c:v>2014</c:v>
                </c:pt>
                <c:pt idx="2">
                  <c:v>2015</c:v>
                </c:pt>
                <c:pt idx="3">
                  <c:v>2016</c:v>
                </c:pt>
                <c:pt idx="4">
                  <c:v>2017</c:v>
                </c:pt>
                <c:pt idx="5">
                  <c:v>2018</c:v>
                </c:pt>
              </c:numCache>
            </c:numRef>
          </c:cat>
          <c:val>
            <c:numRef>
              <c:f>Population!$B$111:$G$111</c:f>
              <c:numCache>
                <c:formatCode>General</c:formatCode>
                <c:ptCount val="6"/>
                <c:pt idx="0">
                  <c:v>76.5</c:v>
                </c:pt>
                <c:pt idx="1">
                  <c:v>76.599999999999994</c:v>
                </c:pt>
                <c:pt idx="2">
                  <c:v>76.400000000000006</c:v>
                </c:pt>
                <c:pt idx="3">
                  <c:v>77.099999999999994</c:v>
                </c:pt>
                <c:pt idx="4">
                  <c:v>76.900000000000006</c:v>
                </c:pt>
                <c:pt idx="5">
                  <c:v>77.099999999999994</c:v>
                </c:pt>
              </c:numCache>
            </c:numRef>
          </c:val>
          <c:smooth val="0"/>
          <c:extLst>
            <c:ext xmlns:c16="http://schemas.microsoft.com/office/drawing/2014/chart" uri="{C3380CC4-5D6E-409C-BE32-E72D297353CC}">
              <c16:uniqueId val="{00000000-131D-405C-8E38-F2BF72D5A532}"/>
            </c:ext>
          </c:extLst>
        </c:ser>
        <c:ser>
          <c:idx val="1"/>
          <c:order val="1"/>
          <c:tx>
            <c:strRef>
              <c:f>Population!$A$112</c:f>
              <c:strCache>
                <c:ptCount val="1"/>
                <c:pt idx="0">
                  <c:v>Femmes</c:v>
                </c:pt>
              </c:strCache>
            </c:strRef>
          </c:tx>
          <c:cat>
            <c:numRef>
              <c:f>Population!$B$110:$G$110</c:f>
              <c:numCache>
                <c:formatCode>General</c:formatCode>
                <c:ptCount val="6"/>
                <c:pt idx="0">
                  <c:v>2013</c:v>
                </c:pt>
                <c:pt idx="1">
                  <c:v>2014</c:v>
                </c:pt>
                <c:pt idx="2">
                  <c:v>2015</c:v>
                </c:pt>
                <c:pt idx="3">
                  <c:v>2016</c:v>
                </c:pt>
                <c:pt idx="4">
                  <c:v>2017</c:v>
                </c:pt>
                <c:pt idx="5">
                  <c:v>2018</c:v>
                </c:pt>
              </c:numCache>
            </c:numRef>
          </c:cat>
          <c:val>
            <c:numRef>
              <c:f>Population!$B$112:$G$112</c:f>
              <c:numCache>
                <c:formatCode>General</c:formatCode>
                <c:ptCount val="6"/>
                <c:pt idx="0">
                  <c:v>77.599999999999994</c:v>
                </c:pt>
                <c:pt idx="1">
                  <c:v>77.8</c:v>
                </c:pt>
                <c:pt idx="2">
                  <c:v>77.8</c:v>
                </c:pt>
                <c:pt idx="3">
                  <c:v>78.2</c:v>
                </c:pt>
                <c:pt idx="4">
                  <c:v>78.2</c:v>
                </c:pt>
                <c:pt idx="5">
                  <c:v>78.400000000000006</c:v>
                </c:pt>
              </c:numCache>
            </c:numRef>
          </c:val>
          <c:smooth val="0"/>
          <c:extLst>
            <c:ext xmlns:c16="http://schemas.microsoft.com/office/drawing/2014/chart" uri="{C3380CC4-5D6E-409C-BE32-E72D297353CC}">
              <c16:uniqueId val="{00000001-131D-405C-8E38-F2BF72D5A532}"/>
            </c:ext>
          </c:extLst>
        </c:ser>
        <c:ser>
          <c:idx val="2"/>
          <c:order val="2"/>
          <c:tx>
            <c:strRef>
              <c:f>Population!$A$113</c:f>
              <c:strCache>
                <c:ptCount val="1"/>
                <c:pt idx="0">
                  <c:v>Ensemble</c:v>
                </c:pt>
              </c:strCache>
            </c:strRef>
          </c:tx>
          <c:cat>
            <c:numRef>
              <c:f>Population!$B$110:$G$110</c:f>
              <c:numCache>
                <c:formatCode>General</c:formatCode>
                <c:ptCount val="6"/>
                <c:pt idx="0">
                  <c:v>2013</c:v>
                </c:pt>
                <c:pt idx="1">
                  <c:v>2014</c:v>
                </c:pt>
                <c:pt idx="2">
                  <c:v>2015</c:v>
                </c:pt>
                <c:pt idx="3">
                  <c:v>2016</c:v>
                </c:pt>
                <c:pt idx="4">
                  <c:v>2017</c:v>
                </c:pt>
                <c:pt idx="5">
                  <c:v>2018</c:v>
                </c:pt>
              </c:numCache>
            </c:numRef>
          </c:cat>
          <c:val>
            <c:numRef>
              <c:f>Population!$B$113:$G$113</c:f>
              <c:numCache>
                <c:formatCode>General</c:formatCode>
                <c:ptCount val="6"/>
                <c:pt idx="0">
                  <c:v>77</c:v>
                </c:pt>
                <c:pt idx="1">
                  <c:v>77.2</c:v>
                </c:pt>
                <c:pt idx="2">
                  <c:v>77.099999999999994</c:v>
                </c:pt>
                <c:pt idx="3">
                  <c:v>77.599999999999994</c:v>
                </c:pt>
                <c:pt idx="4">
                  <c:v>77.599999999999994</c:v>
                </c:pt>
                <c:pt idx="5">
                  <c:v>77.7</c:v>
                </c:pt>
              </c:numCache>
            </c:numRef>
          </c:val>
          <c:smooth val="0"/>
          <c:extLst>
            <c:ext xmlns:c16="http://schemas.microsoft.com/office/drawing/2014/chart" uri="{C3380CC4-5D6E-409C-BE32-E72D297353CC}">
              <c16:uniqueId val="{00000002-131D-405C-8E38-F2BF72D5A532}"/>
            </c:ext>
          </c:extLst>
        </c:ser>
        <c:dLbls>
          <c:showLegendKey val="0"/>
          <c:showVal val="0"/>
          <c:showCatName val="0"/>
          <c:showSerName val="0"/>
          <c:showPercent val="0"/>
          <c:showBubbleSize val="0"/>
        </c:dLbls>
        <c:marker val="1"/>
        <c:smooth val="0"/>
        <c:axId val="157589504"/>
        <c:axId val="157591040"/>
      </c:lineChart>
      <c:catAx>
        <c:axId val="157589504"/>
        <c:scaling>
          <c:orientation val="minMax"/>
        </c:scaling>
        <c:delete val="0"/>
        <c:axPos val="b"/>
        <c:numFmt formatCode="General" sourceLinked="1"/>
        <c:majorTickMark val="none"/>
        <c:minorTickMark val="none"/>
        <c:tickLblPos val="nextTo"/>
        <c:txPr>
          <a:bodyPr/>
          <a:lstStyle/>
          <a:p>
            <a:pPr>
              <a:defRPr lang="fr-FR" b="1"/>
            </a:pPr>
            <a:endParaRPr lang="en-US"/>
          </a:p>
        </c:txPr>
        <c:crossAx val="157591040"/>
        <c:crosses val="autoZero"/>
        <c:auto val="1"/>
        <c:lblAlgn val="ctr"/>
        <c:lblOffset val="100"/>
        <c:noMultiLvlLbl val="0"/>
      </c:catAx>
      <c:valAx>
        <c:axId val="157591040"/>
        <c:scaling>
          <c:orientation val="minMax"/>
          <c:max val="78.5"/>
          <c:min val="76"/>
        </c:scaling>
        <c:delete val="0"/>
        <c:axPos val="l"/>
        <c:majorGridlines/>
        <c:numFmt formatCode="General" sourceLinked="1"/>
        <c:majorTickMark val="none"/>
        <c:minorTickMark val="none"/>
        <c:tickLblPos val="nextTo"/>
        <c:txPr>
          <a:bodyPr/>
          <a:lstStyle/>
          <a:p>
            <a:pPr>
              <a:defRPr lang="fr-FR"/>
            </a:pPr>
            <a:endParaRPr lang="en-US"/>
          </a:p>
        </c:txPr>
        <c:crossAx val="157589504"/>
        <c:crosses val="autoZero"/>
        <c:crossBetween val="between"/>
      </c:valAx>
    </c:plotArea>
    <c:legend>
      <c:legendPos val="b"/>
      <c:overlay val="0"/>
      <c:txPr>
        <a:bodyPr/>
        <a:lstStyle/>
        <a:p>
          <a:pPr>
            <a:defRPr lang="fr-FR" b="1"/>
          </a:pPr>
          <a:endParaRPr lang="en-US"/>
        </a:p>
      </c:txPr>
    </c:legend>
    <c:plotVisOnly val="1"/>
    <c:dispBlanksAs val="gap"/>
    <c:showDLblsOverMax val="0"/>
  </c:chart>
  <c:spPr>
    <a:ln w="31750">
      <a:solidFill>
        <a:srgbClr val="002060"/>
      </a:solidFill>
    </a:ln>
  </c:spPr>
  <c:txPr>
    <a:bodyPr/>
    <a:lstStyle/>
    <a:p>
      <a:pPr>
        <a:defRPr sz="800"/>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fr-FR" sz="900"/>
            </a:pPr>
            <a:r>
              <a:rPr lang="fr-FR" sz="900"/>
              <a:t>Evolution des populations active, occupée et en chômage (en milliers)</a:t>
            </a:r>
          </a:p>
        </c:rich>
      </c:tx>
      <c:overlay val="0"/>
    </c:title>
    <c:autoTitleDeleted val="0"/>
    <c:plotArea>
      <c:layout/>
      <c:lineChart>
        <c:grouping val="standard"/>
        <c:varyColors val="0"/>
        <c:ser>
          <c:idx val="0"/>
          <c:order val="0"/>
          <c:tx>
            <c:strRef>
              <c:f>Emploi!$B$53</c:f>
              <c:strCache>
                <c:ptCount val="1"/>
                <c:pt idx="0">
                  <c:v>Population active</c:v>
                </c:pt>
              </c:strCache>
            </c:strRef>
          </c:tx>
          <c:cat>
            <c:numRef>
              <c:f>Emploi!$C$52:$I$52</c:f>
              <c:numCache>
                <c:formatCode>General</c:formatCode>
                <c:ptCount val="7"/>
                <c:pt idx="0">
                  <c:v>2013</c:v>
                </c:pt>
                <c:pt idx="1">
                  <c:v>2014</c:v>
                </c:pt>
                <c:pt idx="2">
                  <c:v>2015</c:v>
                </c:pt>
                <c:pt idx="3">
                  <c:v>2016</c:v>
                </c:pt>
                <c:pt idx="4">
                  <c:v>2017</c:v>
                </c:pt>
                <c:pt idx="5">
                  <c:v>2018</c:v>
                </c:pt>
                <c:pt idx="6">
                  <c:v>2019</c:v>
                </c:pt>
              </c:numCache>
            </c:numRef>
          </c:cat>
          <c:val>
            <c:numRef>
              <c:f>Emploi!$C$53:$I$53</c:f>
              <c:numCache>
                <c:formatCode>#,##0</c:formatCode>
                <c:ptCount val="7"/>
                <c:pt idx="0">
                  <c:v>11964</c:v>
                </c:pt>
                <c:pt idx="1">
                  <c:v>11453</c:v>
                </c:pt>
                <c:pt idx="2">
                  <c:v>11932</c:v>
                </c:pt>
                <c:pt idx="3">
                  <c:v>12117</c:v>
                </c:pt>
                <c:pt idx="4">
                  <c:v>12298</c:v>
                </c:pt>
                <c:pt idx="5">
                  <c:v>12463</c:v>
                </c:pt>
                <c:pt idx="6">
                  <c:v>12730</c:v>
                </c:pt>
              </c:numCache>
            </c:numRef>
          </c:val>
          <c:smooth val="0"/>
          <c:extLst>
            <c:ext xmlns:c16="http://schemas.microsoft.com/office/drawing/2014/chart" uri="{C3380CC4-5D6E-409C-BE32-E72D297353CC}">
              <c16:uniqueId val="{00000000-A39F-444E-B4D1-6CB9B3228318}"/>
            </c:ext>
          </c:extLst>
        </c:ser>
        <c:ser>
          <c:idx val="1"/>
          <c:order val="1"/>
          <c:tx>
            <c:strRef>
              <c:f>Emploi!$B$54</c:f>
              <c:strCache>
                <c:ptCount val="1"/>
                <c:pt idx="0">
                  <c:v>Population occupée</c:v>
                </c:pt>
              </c:strCache>
            </c:strRef>
          </c:tx>
          <c:cat>
            <c:numRef>
              <c:f>Emploi!$C$52:$I$52</c:f>
              <c:numCache>
                <c:formatCode>General</c:formatCode>
                <c:ptCount val="7"/>
                <c:pt idx="0">
                  <c:v>2013</c:v>
                </c:pt>
                <c:pt idx="1">
                  <c:v>2014</c:v>
                </c:pt>
                <c:pt idx="2">
                  <c:v>2015</c:v>
                </c:pt>
                <c:pt idx="3">
                  <c:v>2016</c:v>
                </c:pt>
                <c:pt idx="4">
                  <c:v>2017</c:v>
                </c:pt>
                <c:pt idx="5">
                  <c:v>2018</c:v>
                </c:pt>
                <c:pt idx="6">
                  <c:v>2019</c:v>
                </c:pt>
              </c:numCache>
            </c:numRef>
          </c:cat>
          <c:val>
            <c:numRef>
              <c:f>Emploi!$C$54:$I$54</c:f>
              <c:numCache>
                <c:formatCode>#,##0</c:formatCode>
                <c:ptCount val="7"/>
                <c:pt idx="0">
                  <c:v>10788</c:v>
                </c:pt>
                <c:pt idx="1">
                  <c:v>10239</c:v>
                </c:pt>
                <c:pt idx="2">
                  <c:v>10594</c:v>
                </c:pt>
                <c:pt idx="3">
                  <c:v>10845</c:v>
                </c:pt>
                <c:pt idx="4">
                  <c:v>10858</c:v>
                </c:pt>
                <c:pt idx="5">
                  <c:v>11011</c:v>
                </c:pt>
                <c:pt idx="6">
                  <c:v>11281</c:v>
                </c:pt>
              </c:numCache>
            </c:numRef>
          </c:val>
          <c:smooth val="0"/>
          <c:extLst>
            <c:ext xmlns:c16="http://schemas.microsoft.com/office/drawing/2014/chart" uri="{C3380CC4-5D6E-409C-BE32-E72D297353CC}">
              <c16:uniqueId val="{00000001-A39F-444E-B4D1-6CB9B3228318}"/>
            </c:ext>
          </c:extLst>
        </c:ser>
        <c:ser>
          <c:idx val="2"/>
          <c:order val="2"/>
          <c:tx>
            <c:strRef>
              <c:f>Emploi!$B$55</c:f>
              <c:strCache>
                <c:ptCount val="1"/>
                <c:pt idx="0">
                  <c:v>Population en chômage</c:v>
                </c:pt>
              </c:strCache>
            </c:strRef>
          </c:tx>
          <c:cat>
            <c:numRef>
              <c:f>Emploi!$C$52:$I$52</c:f>
              <c:numCache>
                <c:formatCode>General</c:formatCode>
                <c:ptCount val="7"/>
                <c:pt idx="0">
                  <c:v>2013</c:v>
                </c:pt>
                <c:pt idx="1">
                  <c:v>2014</c:v>
                </c:pt>
                <c:pt idx="2">
                  <c:v>2015</c:v>
                </c:pt>
                <c:pt idx="3">
                  <c:v>2016</c:v>
                </c:pt>
                <c:pt idx="4">
                  <c:v>2017</c:v>
                </c:pt>
                <c:pt idx="5">
                  <c:v>2018</c:v>
                </c:pt>
                <c:pt idx="6">
                  <c:v>2019</c:v>
                </c:pt>
              </c:numCache>
            </c:numRef>
          </c:cat>
          <c:val>
            <c:numRef>
              <c:f>Emploi!$C$55:$I$55</c:f>
              <c:numCache>
                <c:formatCode>#,##0</c:formatCode>
                <c:ptCount val="7"/>
                <c:pt idx="0">
                  <c:v>1175</c:v>
                </c:pt>
                <c:pt idx="1">
                  <c:v>1214</c:v>
                </c:pt>
                <c:pt idx="2">
                  <c:v>1337</c:v>
                </c:pt>
                <c:pt idx="3">
                  <c:v>1272</c:v>
                </c:pt>
                <c:pt idx="4">
                  <c:v>1440</c:v>
                </c:pt>
                <c:pt idx="5">
                  <c:v>1462</c:v>
                </c:pt>
                <c:pt idx="6">
                  <c:v>1449</c:v>
                </c:pt>
              </c:numCache>
            </c:numRef>
          </c:val>
          <c:smooth val="0"/>
          <c:extLst>
            <c:ext xmlns:c16="http://schemas.microsoft.com/office/drawing/2014/chart" uri="{C3380CC4-5D6E-409C-BE32-E72D297353CC}">
              <c16:uniqueId val="{00000002-A39F-444E-B4D1-6CB9B3228318}"/>
            </c:ext>
          </c:extLst>
        </c:ser>
        <c:dLbls>
          <c:showLegendKey val="0"/>
          <c:showVal val="0"/>
          <c:showCatName val="0"/>
          <c:showSerName val="0"/>
          <c:showPercent val="0"/>
          <c:showBubbleSize val="0"/>
        </c:dLbls>
        <c:marker val="1"/>
        <c:smooth val="0"/>
        <c:axId val="157661824"/>
        <c:axId val="161939840"/>
      </c:lineChart>
      <c:catAx>
        <c:axId val="157661824"/>
        <c:scaling>
          <c:orientation val="minMax"/>
        </c:scaling>
        <c:delete val="0"/>
        <c:axPos val="b"/>
        <c:numFmt formatCode="General" sourceLinked="1"/>
        <c:majorTickMark val="none"/>
        <c:minorTickMark val="none"/>
        <c:tickLblPos val="nextTo"/>
        <c:txPr>
          <a:bodyPr/>
          <a:lstStyle/>
          <a:p>
            <a:pPr>
              <a:defRPr lang="fr-FR" sz="900" b="1"/>
            </a:pPr>
            <a:endParaRPr lang="en-US"/>
          </a:p>
        </c:txPr>
        <c:crossAx val="161939840"/>
        <c:crosses val="autoZero"/>
        <c:auto val="1"/>
        <c:lblAlgn val="ctr"/>
        <c:lblOffset val="100"/>
        <c:noMultiLvlLbl val="0"/>
      </c:catAx>
      <c:valAx>
        <c:axId val="161939840"/>
        <c:scaling>
          <c:orientation val="minMax"/>
        </c:scaling>
        <c:delete val="0"/>
        <c:axPos val="l"/>
        <c:majorGridlines/>
        <c:numFmt formatCode="#,##0" sourceLinked="1"/>
        <c:majorTickMark val="none"/>
        <c:minorTickMark val="none"/>
        <c:tickLblPos val="nextTo"/>
        <c:txPr>
          <a:bodyPr/>
          <a:lstStyle/>
          <a:p>
            <a:pPr>
              <a:defRPr lang="fr-FR" sz="900" b="1"/>
            </a:pPr>
            <a:endParaRPr lang="en-US"/>
          </a:p>
        </c:txPr>
        <c:crossAx val="157661824"/>
        <c:crosses val="autoZero"/>
        <c:crossBetween val="between"/>
      </c:valAx>
    </c:plotArea>
    <c:legend>
      <c:legendPos val="b"/>
      <c:overlay val="0"/>
      <c:txPr>
        <a:bodyPr/>
        <a:lstStyle/>
        <a:p>
          <a:pPr>
            <a:defRPr lang="fr-FR" sz="900" b="1"/>
          </a:pPr>
          <a:endParaRPr lang="en-US"/>
        </a:p>
      </c:txPr>
    </c:legend>
    <c:plotVisOnly val="1"/>
    <c:dispBlanksAs val="gap"/>
    <c:showDLblsOverMax val="0"/>
  </c:chart>
  <c:spPr>
    <a:ln w="31750">
      <a:solidFill>
        <a:srgbClr val="002060"/>
      </a:solid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fr-FR" sz="900"/>
            </a:pPr>
            <a:r>
              <a:rPr lang="fr-FR" sz="900"/>
              <a:t>Evolution de la population occupée par secteur juridique</a:t>
            </a:r>
            <a:r>
              <a:rPr lang="fr-FR" sz="900" baseline="0"/>
              <a:t> (en milliers)</a:t>
            </a:r>
            <a:endParaRPr lang="fr-FR" sz="900"/>
          </a:p>
        </c:rich>
      </c:tx>
      <c:overlay val="0"/>
    </c:title>
    <c:autoTitleDeleted val="0"/>
    <c:plotArea>
      <c:layout/>
      <c:lineChart>
        <c:grouping val="standard"/>
        <c:varyColors val="0"/>
        <c:ser>
          <c:idx val="0"/>
          <c:order val="0"/>
          <c:tx>
            <c:strRef>
              <c:f>Emploi!$B$59</c:f>
              <c:strCache>
                <c:ptCount val="1"/>
                <c:pt idx="0">
                  <c:v>Public</c:v>
                </c:pt>
              </c:strCache>
            </c:strRef>
          </c:tx>
          <c:cat>
            <c:numRef>
              <c:f>Emploi!$C$58:$I$58</c:f>
              <c:numCache>
                <c:formatCode>General</c:formatCode>
                <c:ptCount val="7"/>
                <c:pt idx="0">
                  <c:v>2013</c:v>
                </c:pt>
                <c:pt idx="1">
                  <c:v>2014</c:v>
                </c:pt>
                <c:pt idx="2">
                  <c:v>2015</c:v>
                </c:pt>
                <c:pt idx="3">
                  <c:v>2016</c:v>
                </c:pt>
                <c:pt idx="4">
                  <c:v>2017</c:v>
                </c:pt>
                <c:pt idx="5">
                  <c:v>2018</c:v>
                </c:pt>
                <c:pt idx="6">
                  <c:v>2019</c:v>
                </c:pt>
              </c:numCache>
            </c:numRef>
          </c:cat>
          <c:val>
            <c:numRef>
              <c:f>Emploi!$C$59:$I$59</c:f>
              <c:numCache>
                <c:formatCode>#,##0</c:formatCode>
                <c:ptCount val="7"/>
                <c:pt idx="0">
                  <c:v>4440</c:v>
                </c:pt>
                <c:pt idx="1">
                  <c:v>4100</c:v>
                </c:pt>
                <c:pt idx="2">
                  <c:v>4455</c:v>
                </c:pt>
                <c:pt idx="3">
                  <c:v>4355</c:v>
                </c:pt>
                <c:pt idx="4">
                  <c:v>4001</c:v>
                </c:pt>
                <c:pt idx="5">
                  <c:v>4090</c:v>
                </c:pt>
                <c:pt idx="6">
                  <c:v>4267</c:v>
                </c:pt>
              </c:numCache>
            </c:numRef>
          </c:val>
          <c:smooth val="0"/>
          <c:extLst>
            <c:ext xmlns:c16="http://schemas.microsoft.com/office/drawing/2014/chart" uri="{C3380CC4-5D6E-409C-BE32-E72D297353CC}">
              <c16:uniqueId val="{00000000-6ABA-4916-97AD-B386E0664845}"/>
            </c:ext>
          </c:extLst>
        </c:ser>
        <c:ser>
          <c:idx val="1"/>
          <c:order val="1"/>
          <c:tx>
            <c:strRef>
              <c:f>Emploi!$B$60</c:f>
              <c:strCache>
                <c:ptCount val="1"/>
                <c:pt idx="0">
                  <c:v>Privé</c:v>
                </c:pt>
              </c:strCache>
            </c:strRef>
          </c:tx>
          <c:cat>
            <c:numRef>
              <c:f>Emploi!$C$58:$I$58</c:f>
              <c:numCache>
                <c:formatCode>General</c:formatCode>
                <c:ptCount val="7"/>
                <c:pt idx="0">
                  <c:v>2013</c:v>
                </c:pt>
                <c:pt idx="1">
                  <c:v>2014</c:v>
                </c:pt>
                <c:pt idx="2">
                  <c:v>2015</c:v>
                </c:pt>
                <c:pt idx="3">
                  <c:v>2016</c:v>
                </c:pt>
                <c:pt idx="4">
                  <c:v>2017</c:v>
                </c:pt>
                <c:pt idx="5">
                  <c:v>2018</c:v>
                </c:pt>
                <c:pt idx="6">
                  <c:v>2019</c:v>
                </c:pt>
              </c:numCache>
            </c:numRef>
          </c:cat>
          <c:val>
            <c:numRef>
              <c:f>Emploi!$C$60:$I$60</c:f>
              <c:numCache>
                <c:formatCode>#,##0</c:formatCode>
                <c:ptCount val="7"/>
                <c:pt idx="0">
                  <c:v>6349</c:v>
                </c:pt>
                <c:pt idx="1">
                  <c:v>6139</c:v>
                </c:pt>
                <c:pt idx="2">
                  <c:v>6139</c:v>
                </c:pt>
                <c:pt idx="3">
                  <c:v>6490</c:v>
                </c:pt>
                <c:pt idx="4">
                  <c:v>6857</c:v>
                </c:pt>
                <c:pt idx="5">
                  <c:v>6911</c:v>
                </c:pt>
                <c:pt idx="6">
                  <c:v>7014</c:v>
                </c:pt>
              </c:numCache>
            </c:numRef>
          </c:val>
          <c:smooth val="0"/>
          <c:extLst>
            <c:ext xmlns:c16="http://schemas.microsoft.com/office/drawing/2014/chart" uri="{C3380CC4-5D6E-409C-BE32-E72D297353CC}">
              <c16:uniqueId val="{00000001-6ABA-4916-97AD-B386E0664845}"/>
            </c:ext>
          </c:extLst>
        </c:ser>
        <c:dLbls>
          <c:showLegendKey val="0"/>
          <c:showVal val="0"/>
          <c:showCatName val="0"/>
          <c:showSerName val="0"/>
          <c:showPercent val="0"/>
          <c:showBubbleSize val="0"/>
        </c:dLbls>
        <c:marker val="1"/>
        <c:smooth val="0"/>
        <c:axId val="161960704"/>
        <c:axId val="161962240"/>
      </c:lineChart>
      <c:catAx>
        <c:axId val="161960704"/>
        <c:scaling>
          <c:orientation val="minMax"/>
        </c:scaling>
        <c:delete val="0"/>
        <c:axPos val="b"/>
        <c:numFmt formatCode="General" sourceLinked="1"/>
        <c:majorTickMark val="none"/>
        <c:minorTickMark val="none"/>
        <c:tickLblPos val="nextTo"/>
        <c:txPr>
          <a:bodyPr/>
          <a:lstStyle/>
          <a:p>
            <a:pPr>
              <a:defRPr lang="fr-FR" sz="900" b="1"/>
            </a:pPr>
            <a:endParaRPr lang="en-US"/>
          </a:p>
        </c:txPr>
        <c:crossAx val="161962240"/>
        <c:crosses val="autoZero"/>
        <c:auto val="1"/>
        <c:lblAlgn val="ctr"/>
        <c:lblOffset val="100"/>
        <c:noMultiLvlLbl val="0"/>
      </c:catAx>
      <c:valAx>
        <c:axId val="161962240"/>
        <c:scaling>
          <c:orientation val="minMax"/>
          <c:max val="7100"/>
          <c:min val="4000"/>
        </c:scaling>
        <c:delete val="0"/>
        <c:axPos val="l"/>
        <c:majorGridlines/>
        <c:numFmt formatCode="#,##0" sourceLinked="1"/>
        <c:majorTickMark val="none"/>
        <c:minorTickMark val="none"/>
        <c:tickLblPos val="nextTo"/>
        <c:txPr>
          <a:bodyPr/>
          <a:lstStyle/>
          <a:p>
            <a:pPr>
              <a:defRPr lang="fr-FR" sz="900" b="1"/>
            </a:pPr>
            <a:endParaRPr lang="en-US"/>
          </a:p>
        </c:txPr>
        <c:crossAx val="161960704"/>
        <c:crosses val="autoZero"/>
        <c:crossBetween val="between"/>
      </c:valAx>
    </c:plotArea>
    <c:legend>
      <c:legendPos val="b"/>
      <c:overlay val="0"/>
      <c:txPr>
        <a:bodyPr/>
        <a:lstStyle/>
        <a:p>
          <a:pPr>
            <a:defRPr lang="fr-FR" sz="900" b="1"/>
          </a:pPr>
          <a:endParaRPr lang="en-US"/>
        </a:p>
      </c:txPr>
    </c:legend>
    <c:plotVisOnly val="1"/>
    <c:dispBlanksAs val="gap"/>
    <c:showDLblsOverMax val="0"/>
  </c:chart>
  <c:spPr>
    <a:ln w="31750">
      <a:solidFill>
        <a:srgbClr val="002060"/>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fr-FR" sz="700"/>
            </a:pPr>
            <a:r>
              <a:rPr lang="fr-FR" sz="700"/>
              <a:t>Evolution du taux de croissance (%) du PIB total,</a:t>
            </a:r>
            <a:r>
              <a:rPr lang="fr-FR" sz="700" baseline="0"/>
              <a:t> du PIB Hors Hydrocarbures et PIB </a:t>
            </a:r>
            <a:r>
              <a:rPr lang="fr-FR" sz="700"/>
              <a:t>hors agriculture</a:t>
            </a:r>
          </a:p>
        </c:rich>
      </c:tx>
      <c:overlay val="0"/>
    </c:title>
    <c:autoTitleDeleted val="0"/>
    <c:plotArea>
      <c:layout/>
      <c:lineChart>
        <c:grouping val="standard"/>
        <c:varyColors val="0"/>
        <c:ser>
          <c:idx val="0"/>
          <c:order val="0"/>
          <c:tx>
            <c:strRef>
              <c:f>'Le PIB'!$A$220</c:f>
              <c:strCache>
                <c:ptCount val="1"/>
                <c:pt idx="0">
                  <c:v>le PIB</c:v>
                </c:pt>
              </c:strCache>
            </c:strRef>
          </c:tx>
          <c:cat>
            <c:strRef>
              <c:f>'Le PIB'!$B$219:$H$219</c:f>
              <c:strCache>
                <c:ptCount val="7"/>
                <c:pt idx="0">
                  <c:v>2013</c:v>
                </c:pt>
                <c:pt idx="1">
                  <c:v>2014</c:v>
                </c:pt>
                <c:pt idx="2">
                  <c:v>2015</c:v>
                </c:pt>
                <c:pt idx="3">
                  <c:v>2016</c:v>
                </c:pt>
                <c:pt idx="4">
                  <c:v>2017</c:v>
                </c:pt>
                <c:pt idx="5">
                  <c:v>2018</c:v>
                </c:pt>
                <c:pt idx="6">
                  <c:v>9M2019</c:v>
                </c:pt>
              </c:strCache>
            </c:strRef>
          </c:cat>
          <c:val>
            <c:numRef>
              <c:f>'Le PIB'!$B$220:$H$220</c:f>
              <c:numCache>
                <c:formatCode>0.0</c:formatCode>
                <c:ptCount val="7"/>
                <c:pt idx="0">
                  <c:v>2.8</c:v>
                </c:pt>
                <c:pt idx="1">
                  <c:v>3.8</c:v>
                </c:pt>
                <c:pt idx="2">
                  <c:v>3.7</c:v>
                </c:pt>
                <c:pt idx="3">
                  <c:v>3.2</c:v>
                </c:pt>
                <c:pt idx="4">
                  <c:v>1.3</c:v>
                </c:pt>
                <c:pt idx="5">
                  <c:v>1.4</c:v>
                </c:pt>
                <c:pt idx="6">
                  <c:v>0.93333333333333324</c:v>
                </c:pt>
              </c:numCache>
            </c:numRef>
          </c:val>
          <c:smooth val="0"/>
          <c:extLst>
            <c:ext xmlns:c16="http://schemas.microsoft.com/office/drawing/2014/chart" uri="{C3380CC4-5D6E-409C-BE32-E72D297353CC}">
              <c16:uniqueId val="{00000000-D896-4FD7-995C-219005489467}"/>
            </c:ext>
          </c:extLst>
        </c:ser>
        <c:ser>
          <c:idx val="1"/>
          <c:order val="1"/>
          <c:tx>
            <c:strRef>
              <c:f>'Le PIB'!$A$221</c:f>
              <c:strCache>
                <c:ptCount val="1"/>
                <c:pt idx="0">
                  <c:v>le PIB HH</c:v>
                </c:pt>
              </c:strCache>
            </c:strRef>
          </c:tx>
          <c:cat>
            <c:strRef>
              <c:f>'Le PIB'!$B$219:$H$219</c:f>
              <c:strCache>
                <c:ptCount val="7"/>
                <c:pt idx="0">
                  <c:v>2013</c:v>
                </c:pt>
                <c:pt idx="1">
                  <c:v>2014</c:v>
                </c:pt>
                <c:pt idx="2">
                  <c:v>2015</c:v>
                </c:pt>
                <c:pt idx="3">
                  <c:v>2016</c:v>
                </c:pt>
                <c:pt idx="4">
                  <c:v>2017</c:v>
                </c:pt>
                <c:pt idx="5">
                  <c:v>2018</c:v>
                </c:pt>
                <c:pt idx="6">
                  <c:v>9M2019</c:v>
                </c:pt>
              </c:strCache>
            </c:strRef>
          </c:cat>
          <c:val>
            <c:numRef>
              <c:f>'Le PIB'!$B$221:$H$221</c:f>
              <c:numCache>
                <c:formatCode>0.0</c:formatCode>
                <c:ptCount val="7"/>
                <c:pt idx="0">
                  <c:v>7.3</c:v>
                </c:pt>
                <c:pt idx="1">
                  <c:v>5.6</c:v>
                </c:pt>
                <c:pt idx="2">
                  <c:v>5.0999999999999996</c:v>
                </c:pt>
                <c:pt idx="3">
                  <c:v>2.2000000000000002</c:v>
                </c:pt>
                <c:pt idx="4">
                  <c:v>2.1</c:v>
                </c:pt>
                <c:pt idx="5">
                  <c:v>3.3</c:v>
                </c:pt>
                <c:pt idx="6">
                  <c:v>2.6</c:v>
                </c:pt>
              </c:numCache>
            </c:numRef>
          </c:val>
          <c:smooth val="0"/>
          <c:extLst>
            <c:ext xmlns:c16="http://schemas.microsoft.com/office/drawing/2014/chart" uri="{C3380CC4-5D6E-409C-BE32-E72D297353CC}">
              <c16:uniqueId val="{00000001-D896-4FD7-995C-219005489467}"/>
            </c:ext>
          </c:extLst>
        </c:ser>
        <c:ser>
          <c:idx val="2"/>
          <c:order val="2"/>
          <c:tx>
            <c:strRef>
              <c:f>'Le PIB'!$A$222</c:f>
              <c:strCache>
                <c:ptCount val="1"/>
                <c:pt idx="0">
                  <c:v>le PIB HA</c:v>
                </c:pt>
              </c:strCache>
            </c:strRef>
          </c:tx>
          <c:cat>
            <c:strRef>
              <c:f>'Le PIB'!$B$219:$H$219</c:f>
              <c:strCache>
                <c:ptCount val="7"/>
                <c:pt idx="0">
                  <c:v>2013</c:v>
                </c:pt>
                <c:pt idx="1">
                  <c:v>2014</c:v>
                </c:pt>
                <c:pt idx="2">
                  <c:v>2015</c:v>
                </c:pt>
                <c:pt idx="3">
                  <c:v>2016</c:v>
                </c:pt>
                <c:pt idx="4">
                  <c:v>2017</c:v>
                </c:pt>
                <c:pt idx="5">
                  <c:v>2018</c:v>
                </c:pt>
                <c:pt idx="6">
                  <c:v>9M2019</c:v>
                </c:pt>
              </c:strCache>
            </c:strRef>
          </c:cat>
          <c:val>
            <c:numRef>
              <c:f>'Le PIB'!$B$222:$H$222</c:f>
              <c:numCache>
                <c:formatCode>0.0</c:formatCode>
                <c:ptCount val="7"/>
                <c:pt idx="0">
                  <c:v>2.2000000000000002</c:v>
                </c:pt>
                <c:pt idx="1">
                  <c:v>3.9</c:v>
                </c:pt>
                <c:pt idx="2">
                  <c:v>3.5</c:v>
                </c:pt>
                <c:pt idx="3">
                  <c:v>3.4</c:v>
                </c:pt>
                <c:pt idx="4">
                  <c:v>1.3</c:v>
                </c:pt>
                <c:pt idx="5">
                  <c:v>0.9</c:v>
                </c:pt>
                <c:pt idx="6">
                  <c:v>1</c:v>
                </c:pt>
              </c:numCache>
            </c:numRef>
          </c:val>
          <c:smooth val="0"/>
          <c:extLst>
            <c:ext xmlns:c16="http://schemas.microsoft.com/office/drawing/2014/chart" uri="{C3380CC4-5D6E-409C-BE32-E72D297353CC}">
              <c16:uniqueId val="{00000002-D896-4FD7-995C-219005489467}"/>
            </c:ext>
          </c:extLst>
        </c:ser>
        <c:dLbls>
          <c:showLegendKey val="0"/>
          <c:showVal val="0"/>
          <c:showCatName val="0"/>
          <c:showSerName val="0"/>
          <c:showPercent val="0"/>
          <c:showBubbleSize val="0"/>
        </c:dLbls>
        <c:marker val="1"/>
        <c:smooth val="0"/>
        <c:axId val="145506304"/>
        <c:axId val="145509376"/>
      </c:lineChart>
      <c:catAx>
        <c:axId val="145506304"/>
        <c:scaling>
          <c:orientation val="minMax"/>
        </c:scaling>
        <c:delete val="0"/>
        <c:axPos val="b"/>
        <c:numFmt formatCode="General" sourceLinked="0"/>
        <c:majorTickMark val="none"/>
        <c:minorTickMark val="none"/>
        <c:tickLblPos val="nextTo"/>
        <c:txPr>
          <a:bodyPr/>
          <a:lstStyle/>
          <a:p>
            <a:pPr>
              <a:defRPr lang="fr-FR" sz="700" b="1"/>
            </a:pPr>
            <a:endParaRPr lang="en-US"/>
          </a:p>
        </c:txPr>
        <c:crossAx val="145509376"/>
        <c:crosses val="autoZero"/>
        <c:auto val="1"/>
        <c:lblAlgn val="ctr"/>
        <c:lblOffset val="100"/>
        <c:noMultiLvlLbl val="0"/>
      </c:catAx>
      <c:valAx>
        <c:axId val="145509376"/>
        <c:scaling>
          <c:orientation val="minMax"/>
        </c:scaling>
        <c:delete val="0"/>
        <c:axPos val="l"/>
        <c:majorGridlines/>
        <c:numFmt formatCode="0.0" sourceLinked="1"/>
        <c:majorTickMark val="none"/>
        <c:minorTickMark val="none"/>
        <c:tickLblPos val="nextTo"/>
        <c:txPr>
          <a:bodyPr/>
          <a:lstStyle/>
          <a:p>
            <a:pPr>
              <a:defRPr lang="fr-FR" sz="900" b="1"/>
            </a:pPr>
            <a:endParaRPr lang="en-US"/>
          </a:p>
        </c:txPr>
        <c:crossAx val="145506304"/>
        <c:crosses val="autoZero"/>
        <c:crossBetween val="between"/>
      </c:valAx>
    </c:plotArea>
    <c:legend>
      <c:legendPos val="b"/>
      <c:overlay val="0"/>
      <c:txPr>
        <a:bodyPr/>
        <a:lstStyle/>
        <a:p>
          <a:pPr>
            <a:defRPr lang="fr-FR" sz="800" b="1" i="0"/>
          </a:pPr>
          <a:endParaRPr lang="en-US"/>
        </a:p>
      </c:txPr>
    </c:legend>
    <c:plotVisOnly val="1"/>
    <c:dispBlanksAs val="gap"/>
    <c:showDLblsOverMax val="0"/>
  </c:chart>
  <c:spPr>
    <a:ln w="31750">
      <a:solidFill>
        <a:srgbClr val="002060"/>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fr-FR" sz="900"/>
            </a:pPr>
            <a:r>
              <a:rPr lang="en-US" sz="900"/>
              <a:t>Evolution du taux de croissance (%) des grands secteurs d'activité économique
</a:t>
            </a:r>
          </a:p>
        </c:rich>
      </c:tx>
      <c:overlay val="0"/>
    </c:title>
    <c:autoTitleDeleted val="0"/>
    <c:plotArea>
      <c:layout>
        <c:manualLayout>
          <c:layoutTarget val="inner"/>
          <c:xMode val="edge"/>
          <c:yMode val="edge"/>
          <c:x val="0.10150240594925652"/>
          <c:y val="0.16230351414406533"/>
          <c:w val="0.86794203849519214"/>
          <c:h val="0.62039479440070178"/>
        </c:manualLayout>
      </c:layout>
      <c:lineChart>
        <c:grouping val="standard"/>
        <c:varyColors val="0"/>
        <c:ser>
          <c:idx val="0"/>
          <c:order val="0"/>
          <c:tx>
            <c:strRef>
              <c:f>'Le PIB'!$A$228</c:f>
              <c:strCache>
                <c:ptCount val="1"/>
                <c:pt idx="0">
                  <c:v> Agriculture</c:v>
                </c:pt>
              </c:strCache>
            </c:strRef>
          </c:tx>
          <c:cat>
            <c:strRef>
              <c:f>'Le PIB'!$B$227:$H$227</c:f>
              <c:strCache>
                <c:ptCount val="7"/>
                <c:pt idx="0">
                  <c:v>2013</c:v>
                </c:pt>
                <c:pt idx="1">
                  <c:v>2014</c:v>
                </c:pt>
                <c:pt idx="2">
                  <c:v>2015</c:v>
                </c:pt>
                <c:pt idx="3">
                  <c:v>2016</c:v>
                </c:pt>
                <c:pt idx="4">
                  <c:v>2017</c:v>
                </c:pt>
                <c:pt idx="5">
                  <c:v>2018</c:v>
                </c:pt>
                <c:pt idx="6">
                  <c:v>9M2019</c:v>
                </c:pt>
              </c:strCache>
            </c:strRef>
          </c:cat>
          <c:val>
            <c:numRef>
              <c:f>'Le PIB'!$B$228:$H$228</c:f>
              <c:numCache>
                <c:formatCode>0.0</c:formatCode>
                <c:ptCount val="7"/>
                <c:pt idx="0">
                  <c:v>8.2000000000000011</c:v>
                </c:pt>
                <c:pt idx="1">
                  <c:v>2.5</c:v>
                </c:pt>
                <c:pt idx="2">
                  <c:v>6</c:v>
                </c:pt>
                <c:pt idx="3">
                  <c:v>1.8</c:v>
                </c:pt>
                <c:pt idx="4">
                  <c:v>1</c:v>
                </c:pt>
                <c:pt idx="5">
                  <c:v>5</c:v>
                </c:pt>
                <c:pt idx="6">
                  <c:v>0.5</c:v>
                </c:pt>
              </c:numCache>
            </c:numRef>
          </c:val>
          <c:smooth val="0"/>
          <c:extLst>
            <c:ext xmlns:c16="http://schemas.microsoft.com/office/drawing/2014/chart" uri="{C3380CC4-5D6E-409C-BE32-E72D297353CC}">
              <c16:uniqueId val="{00000000-D3AF-4984-8B98-A9BABA4F3D33}"/>
            </c:ext>
          </c:extLst>
        </c:ser>
        <c:ser>
          <c:idx val="1"/>
          <c:order val="1"/>
          <c:tx>
            <c:strRef>
              <c:f>'Le PIB'!$A$229</c:f>
              <c:strCache>
                <c:ptCount val="1"/>
                <c:pt idx="0">
                  <c:v> Hydrocarbures</c:v>
                </c:pt>
              </c:strCache>
            </c:strRef>
          </c:tx>
          <c:cat>
            <c:strRef>
              <c:f>'Le PIB'!$B$227:$H$227</c:f>
              <c:strCache>
                <c:ptCount val="7"/>
                <c:pt idx="0">
                  <c:v>2013</c:v>
                </c:pt>
                <c:pt idx="1">
                  <c:v>2014</c:v>
                </c:pt>
                <c:pt idx="2">
                  <c:v>2015</c:v>
                </c:pt>
                <c:pt idx="3">
                  <c:v>2016</c:v>
                </c:pt>
                <c:pt idx="4">
                  <c:v>2017</c:v>
                </c:pt>
                <c:pt idx="5">
                  <c:v>2018</c:v>
                </c:pt>
                <c:pt idx="6">
                  <c:v>9M2019</c:v>
                </c:pt>
              </c:strCache>
            </c:strRef>
          </c:cat>
          <c:val>
            <c:numRef>
              <c:f>'Le PIB'!$B$229:$H$229</c:f>
              <c:numCache>
                <c:formatCode>0.0</c:formatCode>
                <c:ptCount val="7"/>
                <c:pt idx="0">
                  <c:v>-6</c:v>
                </c:pt>
                <c:pt idx="1">
                  <c:v>-0.60000000000000064</c:v>
                </c:pt>
                <c:pt idx="2">
                  <c:v>0.2</c:v>
                </c:pt>
                <c:pt idx="3">
                  <c:v>7.7</c:v>
                </c:pt>
                <c:pt idx="4">
                  <c:v>-2.4</c:v>
                </c:pt>
                <c:pt idx="5">
                  <c:v>-6.4</c:v>
                </c:pt>
                <c:pt idx="6">
                  <c:v>-4.666666666666667</c:v>
                </c:pt>
              </c:numCache>
            </c:numRef>
          </c:val>
          <c:smooth val="0"/>
          <c:extLst>
            <c:ext xmlns:c16="http://schemas.microsoft.com/office/drawing/2014/chart" uri="{C3380CC4-5D6E-409C-BE32-E72D297353CC}">
              <c16:uniqueId val="{00000001-D3AF-4984-8B98-A9BABA4F3D33}"/>
            </c:ext>
          </c:extLst>
        </c:ser>
        <c:ser>
          <c:idx val="2"/>
          <c:order val="2"/>
          <c:tx>
            <c:strRef>
              <c:f>'Le PIB'!$A$230</c:f>
              <c:strCache>
                <c:ptCount val="1"/>
                <c:pt idx="0">
                  <c:v> Industries</c:v>
                </c:pt>
              </c:strCache>
            </c:strRef>
          </c:tx>
          <c:cat>
            <c:strRef>
              <c:f>'Le PIB'!$B$227:$H$227</c:f>
              <c:strCache>
                <c:ptCount val="7"/>
                <c:pt idx="0">
                  <c:v>2013</c:v>
                </c:pt>
                <c:pt idx="1">
                  <c:v>2014</c:v>
                </c:pt>
                <c:pt idx="2">
                  <c:v>2015</c:v>
                </c:pt>
                <c:pt idx="3">
                  <c:v>2016</c:v>
                </c:pt>
                <c:pt idx="4">
                  <c:v>2017</c:v>
                </c:pt>
                <c:pt idx="5">
                  <c:v>2018</c:v>
                </c:pt>
                <c:pt idx="6">
                  <c:v>9M2019</c:v>
                </c:pt>
              </c:strCache>
            </c:strRef>
          </c:cat>
          <c:val>
            <c:numRef>
              <c:f>'Le PIB'!$B$230:$H$230</c:f>
              <c:numCache>
                <c:formatCode>0.0</c:formatCode>
                <c:ptCount val="7"/>
                <c:pt idx="0">
                  <c:v>4</c:v>
                </c:pt>
                <c:pt idx="1">
                  <c:v>4</c:v>
                </c:pt>
                <c:pt idx="2">
                  <c:v>5</c:v>
                </c:pt>
                <c:pt idx="3">
                  <c:v>3.7</c:v>
                </c:pt>
                <c:pt idx="4">
                  <c:v>4.7</c:v>
                </c:pt>
                <c:pt idx="5">
                  <c:v>4.0999999999999996</c:v>
                </c:pt>
                <c:pt idx="6">
                  <c:v>4.666666666666667</c:v>
                </c:pt>
              </c:numCache>
            </c:numRef>
          </c:val>
          <c:smooth val="0"/>
          <c:extLst>
            <c:ext xmlns:c16="http://schemas.microsoft.com/office/drawing/2014/chart" uri="{C3380CC4-5D6E-409C-BE32-E72D297353CC}">
              <c16:uniqueId val="{00000002-D3AF-4984-8B98-A9BABA4F3D33}"/>
            </c:ext>
          </c:extLst>
        </c:ser>
        <c:ser>
          <c:idx val="3"/>
          <c:order val="3"/>
          <c:tx>
            <c:strRef>
              <c:f>'Le PIB'!$A$231</c:f>
              <c:strCache>
                <c:ptCount val="1"/>
                <c:pt idx="0">
                  <c:v> BTPH </c:v>
                </c:pt>
              </c:strCache>
            </c:strRef>
          </c:tx>
          <c:cat>
            <c:strRef>
              <c:f>'Le PIB'!$B$227:$H$227</c:f>
              <c:strCache>
                <c:ptCount val="7"/>
                <c:pt idx="0">
                  <c:v>2013</c:v>
                </c:pt>
                <c:pt idx="1">
                  <c:v>2014</c:v>
                </c:pt>
                <c:pt idx="2">
                  <c:v>2015</c:v>
                </c:pt>
                <c:pt idx="3">
                  <c:v>2016</c:v>
                </c:pt>
                <c:pt idx="4">
                  <c:v>2017</c:v>
                </c:pt>
                <c:pt idx="5">
                  <c:v>2018</c:v>
                </c:pt>
                <c:pt idx="6">
                  <c:v>9M2019</c:v>
                </c:pt>
              </c:strCache>
            </c:strRef>
          </c:cat>
          <c:val>
            <c:numRef>
              <c:f>'Le PIB'!$B$231:$H$231</c:f>
              <c:numCache>
                <c:formatCode>0.0</c:formatCode>
                <c:ptCount val="7"/>
                <c:pt idx="0">
                  <c:v>6.7</c:v>
                </c:pt>
                <c:pt idx="1">
                  <c:v>6.8</c:v>
                </c:pt>
                <c:pt idx="2">
                  <c:v>4.8</c:v>
                </c:pt>
                <c:pt idx="3">
                  <c:v>5.0999999999999996</c:v>
                </c:pt>
                <c:pt idx="4">
                  <c:v>4.5999999999999996</c:v>
                </c:pt>
                <c:pt idx="5">
                  <c:v>5.2</c:v>
                </c:pt>
                <c:pt idx="6">
                  <c:v>3.1333333333333342</c:v>
                </c:pt>
              </c:numCache>
            </c:numRef>
          </c:val>
          <c:smooth val="0"/>
          <c:extLst>
            <c:ext xmlns:c16="http://schemas.microsoft.com/office/drawing/2014/chart" uri="{C3380CC4-5D6E-409C-BE32-E72D297353CC}">
              <c16:uniqueId val="{00000003-D3AF-4984-8B98-A9BABA4F3D33}"/>
            </c:ext>
          </c:extLst>
        </c:ser>
        <c:ser>
          <c:idx val="4"/>
          <c:order val="4"/>
          <c:tx>
            <c:strRef>
              <c:f>'Le PIB'!$A$232</c:f>
              <c:strCache>
                <c:ptCount val="1"/>
                <c:pt idx="0">
                  <c:v> Services Marchands</c:v>
                </c:pt>
              </c:strCache>
            </c:strRef>
          </c:tx>
          <c:cat>
            <c:strRef>
              <c:f>'Le PIB'!$B$227:$H$227</c:f>
              <c:strCache>
                <c:ptCount val="7"/>
                <c:pt idx="0">
                  <c:v>2013</c:v>
                </c:pt>
                <c:pt idx="1">
                  <c:v>2014</c:v>
                </c:pt>
                <c:pt idx="2">
                  <c:v>2015</c:v>
                </c:pt>
                <c:pt idx="3">
                  <c:v>2016</c:v>
                </c:pt>
                <c:pt idx="4">
                  <c:v>2017</c:v>
                </c:pt>
                <c:pt idx="5">
                  <c:v>2018</c:v>
                </c:pt>
                <c:pt idx="6">
                  <c:v>9M2019</c:v>
                </c:pt>
              </c:strCache>
            </c:strRef>
          </c:cat>
          <c:val>
            <c:numRef>
              <c:f>'Le PIB'!$B$232:$H$232</c:f>
              <c:numCache>
                <c:formatCode>0.0</c:formatCode>
                <c:ptCount val="7"/>
                <c:pt idx="0">
                  <c:v>8.5</c:v>
                </c:pt>
                <c:pt idx="1">
                  <c:v>8.1</c:v>
                </c:pt>
                <c:pt idx="2">
                  <c:v>5.4</c:v>
                </c:pt>
                <c:pt idx="3">
                  <c:v>2.8</c:v>
                </c:pt>
                <c:pt idx="4">
                  <c:v>3.7</c:v>
                </c:pt>
                <c:pt idx="5">
                  <c:v>3.7</c:v>
                </c:pt>
                <c:pt idx="6">
                  <c:v>3.5</c:v>
                </c:pt>
              </c:numCache>
            </c:numRef>
          </c:val>
          <c:smooth val="0"/>
          <c:extLst>
            <c:ext xmlns:c16="http://schemas.microsoft.com/office/drawing/2014/chart" uri="{C3380CC4-5D6E-409C-BE32-E72D297353CC}">
              <c16:uniqueId val="{00000004-D3AF-4984-8B98-A9BABA4F3D33}"/>
            </c:ext>
          </c:extLst>
        </c:ser>
        <c:ser>
          <c:idx val="5"/>
          <c:order val="5"/>
          <c:tx>
            <c:strRef>
              <c:f>'Le PIB'!$A$233</c:f>
              <c:strCache>
                <c:ptCount val="1"/>
                <c:pt idx="0">
                  <c:v>Services Non Marchands</c:v>
                </c:pt>
              </c:strCache>
            </c:strRef>
          </c:tx>
          <c:cat>
            <c:strRef>
              <c:f>'Le PIB'!$B$227:$H$227</c:f>
              <c:strCache>
                <c:ptCount val="7"/>
                <c:pt idx="0">
                  <c:v>2013</c:v>
                </c:pt>
                <c:pt idx="1">
                  <c:v>2014</c:v>
                </c:pt>
                <c:pt idx="2">
                  <c:v>2015</c:v>
                </c:pt>
                <c:pt idx="3">
                  <c:v>2016</c:v>
                </c:pt>
                <c:pt idx="4">
                  <c:v>2017</c:v>
                </c:pt>
                <c:pt idx="5">
                  <c:v>2018</c:v>
                </c:pt>
                <c:pt idx="6">
                  <c:v>9M2019</c:v>
                </c:pt>
              </c:strCache>
            </c:strRef>
          </c:cat>
          <c:val>
            <c:numRef>
              <c:f>'Le PIB'!$B$233:$H$233</c:f>
              <c:numCache>
                <c:formatCode>0.0</c:formatCode>
                <c:ptCount val="7"/>
                <c:pt idx="0">
                  <c:v>3.9</c:v>
                </c:pt>
                <c:pt idx="1">
                  <c:v>4.4000000000000004</c:v>
                </c:pt>
                <c:pt idx="2">
                  <c:v>3.6</c:v>
                </c:pt>
                <c:pt idx="3">
                  <c:v>1.8</c:v>
                </c:pt>
                <c:pt idx="4">
                  <c:v>0.5</c:v>
                </c:pt>
                <c:pt idx="5">
                  <c:v>2.7</c:v>
                </c:pt>
                <c:pt idx="6">
                  <c:v>1.6666666666666667</c:v>
                </c:pt>
              </c:numCache>
            </c:numRef>
          </c:val>
          <c:smooth val="0"/>
          <c:extLst>
            <c:ext xmlns:c16="http://schemas.microsoft.com/office/drawing/2014/chart" uri="{C3380CC4-5D6E-409C-BE32-E72D297353CC}">
              <c16:uniqueId val="{00000005-D3AF-4984-8B98-A9BABA4F3D33}"/>
            </c:ext>
          </c:extLst>
        </c:ser>
        <c:dLbls>
          <c:showLegendKey val="0"/>
          <c:showVal val="0"/>
          <c:showCatName val="0"/>
          <c:showSerName val="0"/>
          <c:showPercent val="0"/>
          <c:showBubbleSize val="0"/>
        </c:dLbls>
        <c:marker val="1"/>
        <c:smooth val="0"/>
        <c:axId val="153478272"/>
        <c:axId val="153479808"/>
      </c:lineChart>
      <c:catAx>
        <c:axId val="153478272"/>
        <c:scaling>
          <c:orientation val="minMax"/>
        </c:scaling>
        <c:delete val="0"/>
        <c:axPos val="b"/>
        <c:numFmt formatCode="General" sourceLinked="0"/>
        <c:majorTickMark val="none"/>
        <c:minorTickMark val="none"/>
        <c:tickLblPos val="nextTo"/>
        <c:txPr>
          <a:bodyPr/>
          <a:lstStyle/>
          <a:p>
            <a:pPr>
              <a:defRPr lang="fr-FR" sz="800" b="1"/>
            </a:pPr>
            <a:endParaRPr lang="en-US"/>
          </a:p>
        </c:txPr>
        <c:crossAx val="153479808"/>
        <c:crosses val="autoZero"/>
        <c:auto val="1"/>
        <c:lblAlgn val="ctr"/>
        <c:lblOffset val="100"/>
        <c:noMultiLvlLbl val="0"/>
      </c:catAx>
      <c:valAx>
        <c:axId val="153479808"/>
        <c:scaling>
          <c:orientation val="minMax"/>
        </c:scaling>
        <c:delete val="0"/>
        <c:axPos val="l"/>
        <c:majorGridlines/>
        <c:numFmt formatCode="0.0" sourceLinked="1"/>
        <c:majorTickMark val="none"/>
        <c:minorTickMark val="none"/>
        <c:tickLblPos val="nextTo"/>
        <c:txPr>
          <a:bodyPr/>
          <a:lstStyle/>
          <a:p>
            <a:pPr>
              <a:defRPr lang="fr-FR" sz="800" b="1"/>
            </a:pPr>
            <a:endParaRPr lang="en-US"/>
          </a:p>
        </c:txPr>
        <c:crossAx val="153478272"/>
        <c:crosses val="autoZero"/>
        <c:crossBetween val="between"/>
      </c:valAx>
    </c:plotArea>
    <c:legend>
      <c:legendPos val="b"/>
      <c:layout>
        <c:manualLayout>
          <c:xMode val="edge"/>
          <c:yMode val="edge"/>
          <c:x val="6.6651356080489693E-2"/>
          <c:y val="0.83912620297462814"/>
          <c:w val="0.88891951006124226"/>
          <c:h val="0.13309601924759404"/>
        </c:manualLayout>
      </c:layout>
      <c:overlay val="0"/>
      <c:txPr>
        <a:bodyPr/>
        <a:lstStyle/>
        <a:p>
          <a:pPr>
            <a:defRPr lang="fr-FR" sz="800" b="1"/>
          </a:pPr>
          <a:endParaRPr lang="en-US"/>
        </a:p>
      </c:txPr>
    </c:legend>
    <c:plotVisOnly val="1"/>
    <c:dispBlanksAs val="gap"/>
    <c:showDLblsOverMax val="0"/>
  </c:chart>
  <c:spPr>
    <a:ln w="31750">
      <a:solidFill>
        <a:srgbClr val="002060"/>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fr-FR" sz="700"/>
            </a:pPr>
            <a:r>
              <a:rPr lang="fr-FR" sz="700" b="1"/>
              <a:t>Evolution du taux de croissance (%) de la Consommation</a:t>
            </a:r>
            <a:r>
              <a:rPr lang="fr-FR" sz="700" b="1" baseline="0"/>
              <a:t> finale des </a:t>
            </a:r>
            <a:r>
              <a:rPr lang="fr-FR" sz="700" baseline="0"/>
              <a:t>Ménages et de la Consommation Finale des Administrations Publiques</a:t>
            </a:r>
            <a:endParaRPr lang="fr-FR" sz="700"/>
          </a:p>
        </c:rich>
      </c:tx>
      <c:overlay val="0"/>
    </c:title>
    <c:autoTitleDeleted val="0"/>
    <c:plotArea>
      <c:layout>
        <c:manualLayout>
          <c:layoutTarget val="inner"/>
          <c:xMode val="edge"/>
          <c:yMode val="edge"/>
          <c:x val="0.13464467023188167"/>
          <c:y val="0.20307671491174467"/>
          <c:w val="0.8155093990086475"/>
          <c:h val="0.55939775127887481"/>
        </c:manualLayout>
      </c:layout>
      <c:lineChart>
        <c:grouping val="standard"/>
        <c:varyColors val="0"/>
        <c:ser>
          <c:idx val="0"/>
          <c:order val="0"/>
          <c:tx>
            <c:strRef>
              <c:f>'Le PIB'!$A$243</c:f>
              <c:strCache>
                <c:ptCount val="1"/>
                <c:pt idx="0">
                  <c:v>CFM</c:v>
                </c:pt>
              </c:strCache>
            </c:strRef>
          </c:tx>
          <c:cat>
            <c:strRef>
              <c:f>'Le PIB'!$B$242:$H$242</c:f>
              <c:strCache>
                <c:ptCount val="7"/>
                <c:pt idx="0">
                  <c:v>2013</c:v>
                </c:pt>
                <c:pt idx="1">
                  <c:v>2014</c:v>
                </c:pt>
                <c:pt idx="2">
                  <c:v>2015</c:v>
                </c:pt>
                <c:pt idx="3">
                  <c:v>2016</c:v>
                </c:pt>
                <c:pt idx="4">
                  <c:v>2017</c:v>
                </c:pt>
                <c:pt idx="5">
                  <c:v>2018</c:v>
                </c:pt>
                <c:pt idx="6">
                  <c:v>9M2019</c:v>
                </c:pt>
              </c:strCache>
            </c:strRef>
          </c:cat>
          <c:val>
            <c:numRef>
              <c:f>'Le PIB'!$B$243:$H$243</c:f>
              <c:numCache>
                <c:formatCode>0.0</c:formatCode>
                <c:ptCount val="7"/>
                <c:pt idx="0">
                  <c:v>5</c:v>
                </c:pt>
                <c:pt idx="1">
                  <c:v>4.4000000000000004</c:v>
                </c:pt>
                <c:pt idx="2">
                  <c:v>3.9</c:v>
                </c:pt>
                <c:pt idx="3">
                  <c:v>3.3</c:v>
                </c:pt>
                <c:pt idx="4">
                  <c:v>1.8</c:v>
                </c:pt>
                <c:pt idx="5">
                  <c:v>2.8</c:v>
                </c:pt>
                <c:pt idx="6">
                  <c:v>1.4333333333333318</c:v>
                </c:pt>
              </c:numCache>
            </c:numRef>
          </c:val>
          <c:smooth val="0"/>
          <c:extLst>
            <c:ext xmlns:c16="http://schemas.microsoft.com/office/drawing/2014/chart" uri="{C3380CC4-5D6E-409C-BE32-E72D297353CC}">
              <c16:uniqueId val="{00000000-AE0E-4FD5-B905-415F39BE86AC}"/>
            </c:ext>
          </c:extLst>
        </c:ser>
        <c:ser>
          <c:idx val="1"/>
          <c:order val="1"/>
          <c:tx>
            <c:strRef>
              <c:f>'Le PIB'!$A$244</c:f>
              <c:strCache>
                <c:ptCount val="1"/>
                <c:pt idx="0">
                  <c:v>CF AP</c:v>
                </c:pt>
              </c:strCache>
            </c:strRef>
          </c:tx>
          <c:cat>
            <c:strRef>
              <c:f>'Le PIB'!$B$242:$H$242</c:f>
              <c:strCache>
                <c:ptCount val="7"/>
                <c:pt idx="0">
                  <c:v>2013</c:v>
                </c:pt>
                <c:pt idx="1">
                  <c:v>2014</c:v>
                </c:pt>
                <c:pt idx="2">
                  <c:v>2015</c:v>
                </c:pt>
                <c:pt idx="3">
                  <c:v>2016</c:v>
                </c:pt>
                <c:pt idx="4">
                  <c:v>2017</c:v>
                </c:pt>
                <c:pt idx="5">
                  <c:v>2018</c:v>
                </c:pt>
                <c:pt idx="6">
                  <c:v>9M2019</c:v>
                </c:pt>
              </c:strCache>
            </c:strRef>
          </c:cat>
          <c:val>
            <c:numRef>
              <c:f>'Le PIB'!$B$244:$H$244</c:f>
              <c:numCache>
                <c:formatCode>0.0</c:formatCode>
                <c:ptCount val="7"/>
                <c:pt idx="0">
                  <c:v>0.8</c:v>
                </c:pt>
                <c:pt idx="1">
                  <c:v>1.1000000000000001</c:v>
                </c:pt>
                <c:pt idx="2">
                  <c:v>3.1</c:v>
                </c:pt>
                <c:pt idx="3">
                  <c:v>1.3</c:v>
                </c:pt>
                <c:pt idx="4">
                  <c:v>2.8</c:v>
                </c:pt>
                <c:pt idx="5">
                  <c:v>2.2999999999999998</c:v>
                </c:pt>
                <c:pt idx="6">
                  <c:v>1.8</c:v>
                </c:pt>
              </c:numCache>
            </c:numRef>
          </c:val>
          <c:smooth val="0"/>
          <c:extLst>
            <c:ext xmlns:c16="http://schemas.microsoft.com/office/drawing/2014/chart" uri="{C3380CC4-5D6E-409C-BE32-E72D297353CC}">
              <c16:uniqueId val="{00000001-AE0E-4FD5-B905-415F39BE86AC}"/>
            </c:ext>
          </c:extLst>
        </c:ser>
        <c:dLbls>
          <c:showLegendKey val="0"/>
          <c:showVal val="0"/>
          <c:showCatName val="0"/>
          <c:showSerName val="0"/>
          <c:showPercent val="0"/>
          <c:showBubbleSize val="0"/>
        </c:dLbls>
        <c:marker val="1"/>
        <c:smooth val="0"/>
        <c:axId val="156826240"/>
        <c:axId val="163002240"/>
      </c:lineChart>
      <c:catAx>
        <c:axId val="156826240"/>
        <c:scaling>
          <c:orientation val="minMax"/>
        </c:scaling>
        <c:delete val="0"/>
        <c:axPos val="b"/>
        <c:numFmt formatCode="General" sourceLinked="0"/>
        <c:majorTickMark val="none"/>
        <c:minorTickMark val="none"/>
        <c:tickLblPos val="nextTo"/>
        <c:txPr>
          <a:bodyPr/>
          <a:lstStyle/>
          <a:p>
            <a:pPr>
              <a:defRPr lang="fr-FR" sz="700" b="1"/>
            </a:pPr>
            <a:endParaRPr lang="en-US"/>
          </a:p>
        </c:txPr>
        <c:crossAx val="163002240"/>
        <c:crosses val="autoZero"/>
        <c:auto val="1"/>
        <c:lblAlgn val="ctr"/>
        <c:lblOffset val="100"/>
        <c:noMultiLvlLbl val="0"/>
      </c:catAx>
      <c:valAx>
        <c:axId val="163002240"/>
        <c:scaling>
          <c:orientation val="minMax"/>
        </c:scaling>
        <c:delete val="0"/>
        <c:axPos val="l"/>
        <c:majorGridlines/>
        <c:numFmt formatCode="0.0" sourceLinked="1"/>
        <c:majorTickMark val="none"/>
        <c:minorTickMark val="none"/>
        <c:tickLblPos val="nextTo"/>
        <c:txPr>
          <a:bodyPr/>
          <a:lstStyle/>
          <a:p>
            <a:pPr>
              <a:defRPr lang="fr-FR" sz="800" b="1"/>
            </a:pPr>
            <a:endParaRPr lang="en-US"/>
          </a:p>
        </c:txPr>
        <c:crossAx val="156826240"/>
        <c:crosses val="autoZero"/>
        <c:crossBetween val="between"/>
      </c:valAx>
    </c:plotArea>
    <c:legend>
      <c:legendPos val="b"/>
      <c:overlay val="0"/>
      <c:txPr>
        <a:bodyPr/>
        <a:lstStyle/>
        <a:p>
          <a:pPr>
            <a:defRPr lang="fr-FR" sz="800" b="1"/>
          </a:pPr>
          <a:endParaRPr lang="en-US"/>
        </a:p>
      </c:txPr>
    </c:legend>
    <c:plotVisOnly val="1"/>
    <c:dispBlanksAs val="gap"/>
    <c:showDLblsOverMax val="0"/>
  </c:chart>
  <c:spPr>
    <a:ln w="31750">
      <a:solidFill>
        <a:srgbClr val="002060"/>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fr-FR" sz="700" b="1"/>
            </a:pPr>
            <a:r>
              <a:rPr lang="fr-FR" sz="700" b="1"/>
              <a:t>Evolution du taux</a:t>
            </a:r>
            <a:r>
              <a:rPr lang="fr-FR" sz="700" b="1" baseline="0"/>
              <a:t> de croissance (%) de la </a:t>
            </a:r>
            <a:r>
              <a:rPr lang="fr-FR" sz="700" b="1"/>
              <a:t>FBCF</a:t>
            </a:r>
          </a:p>
        </c:rich>
      </c:tx>
      <c:layout>
        <c:manualLayout>
          <c:xMode val="edge"/>
          <c:yMode val="edge"/>
          <c:x val="0.32872922134733257"/>
          <c:y val="2.7777777777777964E-2"/>
        </c:manualLayout>
      </c:layout>
      <c:overlay val="0"/>
    </c:title>
    <c:autoTitleDeleted val="0"/>
    <c:plotArea>
      <c:layout/>
      <c:lineChart>
        <c:grouping val="standard"/>
        <c:varyColors val="0"/>
        <c:ser>
          <c:idx val="0"/>
          <c:order val="0"/>
          <c:tx>
            <c:strRef>
              <c:f>'Le PIB'!$A$264</c:f>
              <c:strCache>
                <c:ptCount val="1"/>
                <c:pt idx="0">
                  <c:v>FBCF</c:v>
                </c:pt>
              </c:strCache>
            </c:strRef>
          </c:tx>
          <c:trendline>
            <c:spPr>
              <a:ln w="25400">
                <a:solidFill>
                  <a:srgbClr val="FF0000"/>
                </a:solidFill>
              </a:ln>
            </c:spPr>
            <c:trendlineType val="linear"/>
            <c:dispRSqr val="0"/>
            <c:dispEq val="0"/>
          </c:trendline>
          <c:cat>
            <c:strRef>
              <c:f>'Le PIB'!$B$263:$H$263</c:f>
              <c:strCache>
                <c:ptCount val="7"/>
                <c:pt idx="0">
                  <c:v>2013</c:v>
                </c:pt>
                <c:pt idx="1">
                  <c:v>2014</c:v>
                </c:pt>
                <c:pt idx="2">
                  <c:v>2015</c:v>
                </c:pt>
                <c:pt idx="3">
                  <c:v>2016</c:v>
                </c:pt>
                <c:pt idx="4">
                  <c:v>2017</c:v>
                </c:pt>
                <c:pt idx="5">
                  <c:v>2018</c:v>
                </c:pt>
                <c:pt idx="6">
                  <c:v>9M2019</c:v>
                </c:pt>
              </c:strCache>
            </c:strRef>
          </c:cat>
          <c:val>
            <c:numRef>
              <c:f>'Le PIB'!$B$264:$H$264</c:f>
              <c:numCache>
                <c:formatCode>0.0</c:formatCode>
                <c:ptCount val="7"/>
                <c:pt idx="0">
                  <c:v>8.6</c:v>
                </c:pt>
                <c:pt idx="1">
                  <c:v>6.4</c:v>
                </c:pt>
                <c:pt idx="2">
                  <c:v>5.7</c:v>
                </c:pt>
                <c:pt idx="3">
                  <c:v>3.5</c:v>
                </c:pt>
                <c:pt idx="4">
                  <c:v>3.4</c:v>
                </c:pt>
                <c:pt idx="5">
                  <c:v>3.1</c:v>
                </c:pt>
                <c:pt idx="6">
                  <c:v>2.4666666666666668</c:v>
                </c:pt>
              </c:numCache>
            </c:numRef>
          </c:val>
          <c:smooth val="0"/>
          <c:extLst>
            <c:ext xmlns:c16="http://schemas.microsoft.com/office/drawing/2014/chart" uri="{C3380CC4-5D6E-409C-BE32-E72D297353CC}">
              <c16:uniqueId val="{00000000-F638-4559-851A-0177DC9CBAA0}"/>
            </c:ext>
          </c:extLst>
        </c:ser>
        <c:dLbls>
          <c:showLegendKey val="0"/>
          <c:showVal val="0"/>
          <c:showCatName val="0"/>
          <c:showSerName val="0"/>
          <c:showPercent val="0"/>
          <c:showBubbleSize val="0"/>
        </c:dLbls>
        <c:marker val="1"/>
        <c:smooth val="0"/>
        <c:axId val="153724800"/>
        <c:axId val="153726336"/>
      </c:lineChart>
      <c:catAx>
        <c:axId val="153724800"/>
        <c:scaling>
          <c:orientation val="minMax"/>
        </c:scaling>
        <c:delete val="0"/>
        <c:axPos val="b"/>
        <c:numFmt formatCode="General" sourceLinked="0"/>
        <c:majorTickMark val="none"/>
        <c:minorTickMark val="none"/>
        <c:tickLblPos val="nextTo"/>
        <c:txPr>
          <a:bodyPr/>
          <a:lstStyle/>
          <a:p>
            <a:pPr>
              <a:defRPr lang="fr-FR" sz="900" b="1"/>
            </a:pPr>
            <a:endParaRPr lang="en-US"/>
          </a:p>
        </c:txPr>
        <c:crossAx val="153726336"/>
        <c:crosses val="autoZero"/>
        <c:auto val="1"/>
        <c:lblAlgn val="ctr"/>
        <c:lblOffset val="100"/>
        <c:noMultiLvlLbl val="0"/>
      </c:catAx>
      <c:valAx>
        <c:axId val="153726336"/>
        <c:scaling>
          <c:orientation val="minMax"/>
          <c:min val="2"/>
        </c:scaling>
        <c:delete val="0"/>
        <c:axPos val="l"/>
        <c:majorGridlines/>
        <c:numFmt formatCode="0.0" sourceLinked="1"/>
        <c:majorTickMark val="none"/>
        <c:minorTickMark val="none"/>
        <c:tickLblPos val="nextTo"/>
        <c:txPr>
          <a:bodyPr/>
          <a:lstStyle/>
          <a:p>
            <a:pPr>
              <a:defRPr lang="fr-FR" sz="900" b="1"/>
            </a:pPr>
            <a:endParaRPr lang="en-US"/>
          </a:p>
        </c:txPr>
        <c:crossAx val="153724800"/>
        <c:crosses val="autoZero"/>
        <c:crossBetween val="between"/>
      </c:valAx>
    </c:plotArea>
    <c:legend>
      <c:legendPos val="b"/>
      <c:overlay val="0"/>
      <c:txPr>
        <a:bodyPr/>
        <a:lstStyle/>
        <a:p>
          <a:pPr>
            <a:defRPr lang="fr-FR" sz="700" b="1"/>
          </a:pPr>
          <a:endParaRPr lang="en-US"/>
        </a:p>
      </c:txPr>
    </c:legend>
    <c:plotVisOnly val="1"/>
    <c:dispBlanksAs val="gap"/>
    <c:showDLblsOverMax val="0"/>
  </c:chart>
  <c:spPr>
    <a:ln w="31750">
      <a:solidFill>
        <a:srgbClr val="002060"/>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fr-FR" sz="700" b="1"/>
            </a:pPr>
            <a:r>
              <a:rPr lang="fr-FR" sz="700" b="1"/>
              <a:t>Evolution du taux</a:t>
            </a:r>
            <a:r>
              <a:rPr lang="fr-FR" sz="700" b="1" baseline="0"/>
              <a:t> de croissance (%) des exportations de biens et services</a:t>
            </a:r>
            <a:endParaRPr lang="fr-FR" sz="700" b="1"/>
          </a:p>
        </c:rich>
      </c:tx>
      <c:overlay val="0"/>
    </c:title>
    <c:autoTitleDeleted val="0"/>
    <c:plotArea>
      <c:layout>
        <c:manualLayout>
          <c:layoutTarget val="inner"/>
          <c:xMode val="edge"/>
          <c:yMode val="edge"/>
          <c:x val="0.16754913389155543"/>
          <c:y val="0.15029356002690974"/>
          <c:w val="0.78372332803852995"/>
          <c:h val="0.57401294809404357"/>
        </c:manualLayout>
      </c:layout>
      <c:lineChart>
        <c:grouping val="standard"/>
        <c:varyColors val="0"/>
        <c:ser>
          <c:idx val="0"/>
          <c:order val="0"/>
          <c:tx>
            <c:strRef>
              <c:f>'Le PIB'!$A$284</c:f>
              <c:strCache>
                <c:ptCount val="1"/>
                <c:pt idx="0">
                  <c:v>Hydrocarbures</c:v>
                </c:pt>
              </c:strCache>
            </c:strRef>
          </c:tx>
          <c:cat>
            <c:strRef>
              <c:f>'Le PIB'!$B$283:$H$283</c:f>
              <c:strCache>
                <c:ptCount val="7"/>
                <c:pt idx="0">
                  <c:v>2013</c:v>
                </c:pt>
                <c:pt idx="1">
                  <c:v>2014</c:v>
                </c:pt>
                <c:pt idx="2">
                  <c:v>2015</c:v>
                </c:pt>
                <c:pt idx="3">
                  <c:v>2016</c:v>
                </c:pt>
                <c:pt idx="4">
                  <c:v>2017</c:v>
                </c:pt>
                <c:pt idx="5">
                  <c:v>2018</c:v>
                </c:pt>
                <c:pt idx="6">
                  <c:v>9M2019</c:v>
                </c:pt>
              </c:strCache>
            </c:strRef>
          </c:cat>
          <c:val>
            <c:numRef>
              <c:f>'Le PIB'!$B$284:$H$284</c:f>
              <c:numCache>
                <c:formatCode>0.0</c:formatCode>
                <c:ptCount val="7"/>
                <c:pt idx="0">
                  <c:v>-6</c:v>
                </c:pt>
                <c:pt idx="1">
                  <c:v>-1</c:v>
                </c:pt>
                <c:pt idx="2">
                  <c:v>0.2</c:v>
                </c:pt>
                <c:pt idx="3">
                  <c:v>6.3</c:v>
                </c:pt>
                <c:pt idx="4">
                  <c:v>-3.5</c:v>
                </c:pt>
                <c:pt idx="5">
                  <c:v>-8.4</c:v>
                </c:pt>
                <c:pt idx="6">
                  <c:v>-5.2333333333333538</c:v>
                </c:pt>
              </c:numCache>
            </c:numRef>
          </c:val>
          <c:smooth val="0"/>
          <c:extLst>
            <c:ext xmlns:c16="http://schemas.microsoft.com/office/drawing/2014/chart" uri="{C3380CC4-5D6E-409C-BE32-E72D297353CC}">
              <c16:uniqueId val="{00000000-B3E1-41D7-A0A9-9CE0CA3413F7}"/>
            </c:ext>
          </c:extLst>
        </c:ser>
        <c:ser>
          <c:idx val="1"/>
          <c:order val="1"/>
          <c:tx>
            <c:strRef>
              <c:f>'Le PIB'!$A$285</c:f>
              <c:strCache>
                <c:ptCount val="1"/>
                <c:pt idx="0">
                  <c:v>Autres marchandises</c:v>
                </c:pt>
              </c:strCache>
            </c:strRef>
          </c:tx>
          <c:cat>
            <c:strRef>
              <c:f>'Le PIB'!$B$283:$H$283</c:f>
              <c:strCache>
                <c:ptCount val="7"/>
                <c:pt idx="0">
                  <c:v>2013</c:v>
                </c:pt>
                <c:pt idx="1">
                  <c:v>2014</c:v>
                </c:pt>
                <c:pt idx="2">
                  <c:v>2015</c:v>
                </c:pt>
                <c:pt idx="3">
                  <c:v>2016</c:v>
                </c:pt>
                <c:pt idx="4">
                  <c:v>2017</c:v>
                </c:pt>
                <c:pt idx="5">
                  <c:v>2018</c:v>
                </c:pt>
                <c:pt idx="6">
                  <c:v>9M2019</c:v>
                </c:pt>
              </c:strCache>
            </c:strRef>
          </c:cat>
          <c:val>
            <c:numRef>
              <c:f>'Le PIB'!$B$285:$H$285</c:f>
              <c:numCache>
                <c:formatCode>0.0</c:formatCode>
                <c:ptCount val="7"/>
                <c:pt idx="0">
                  <c:v>-3.1</c:v>
                </c:pt>
                <c:pt idx="1">
                  <c:v>29</c:v>
                </c:pt>
                <c:pt idx="2">
                  <c:v>-8.7000000000000011</c:v>
                </c:pt>
                <c:pt idx="3">
                  <c:v>17</c:v>
                </c:pt>
                <c:pt idx="4">
                  <c:v>-32.200000000000003</c:v>
                </c:pt>
                <c:pt idx="5">
                  <c:v>59.9</c:v>
                </c:pt>
                <c:pt idx="6">
                  <c:v>-1.5999999999999954</c:v>
                </c:pt>
              </c:numCache>
            </c:numRef>
          </c:val>
          <c:smooth val="0"/>
          <c:extLst>
            <c:ext xmlns:c16="http://schemas.microsoft.com/office/drawing/2014/chart" uri="{C3380CC4-5D6E-409C-BE32-E72D297353CC}">
              <c16:uniqueId val="{00000001-B3E1-41D7-A0A9-9CE0CA3413F7}"/>
            </c:ext>
          </c:extLst>
        </c:ser>
        <c:ser>
          <c:idx val="2"/>
          <c:order val="2"/>
          <c:tx>
            <c:strRef>
              <c:f>'Le PIB'!$A$286</c:f>
              <c:strCache>
                <c:ptCount val="1"/>
                <c:pt idx="0">
                  <c:v>Services</c:v>
                </c:pt>
              </c:strCache>
            </c:strRef>
          </c:tx>
          <c:cat>
            <c:strRef>
              <c:f>'Le PIB'!$B$283:$H$283</c:f>
              <c:strCache>
                <c:ptCount val="7"/>
                <c:pt idx="0">
                  <c:v>2013</c:v>
                </c:pt>
                <c:pt idx="1">
                  <c:v>2014</c:v>
                </c:pt>
                <c:pt idx="2">
                  <c:v>2015</c:v>
                </c:pt>
                <c:pt idx="3">
                  <c:v>2016</c:v>
                </c:pt>
                <c:pt idx="4">
                  <c:v>2017</c:v>
                </c:pt>
                <c:pt idx="5">
                  <c:v>2018</c:v>
                </c:pt>
                <c:pt idx="6">
                  <c:v>9M2019</c:v>
                </c:pt>
              </c:strCache>
            </c:strRef>
          </c:cat>
          <c:val>
            <c:numRef>
              <c:f>'Le PIB'!$B$286:$H$286</c:f>
              <c:numCache>
                <c:formatCode>0.0</c:formatCode>
                <c:ptCount val="7"/>
                <c:pt idx="0">
                  <c:v>-1.3</c:v>
                </c:pt>
                <c:pt idx="1">
                  <c:v>5</c:v>
                </c:pt>
                <c:pt idx="2">
                  <c:v>12.9</c:v>
                </c:pt>
                <c:pt idx="3">
                  <c:v>7.6</c:v>
                </c:pt>
                <c:pt idx="4">
                  <c:v>-13.2</c:v>
                </c:pt>
                <c:pt idx="5">
                  <c:v>11.9</c:v>
                </c:pt>
                <c:pt idx="6">
                  <c:v>3.3333333333333805E-2</c:v>
                </c:pt>
              </c:numCache>
            </c:numRef>
          </c:val>
          <c:smooth val="0"/>
          <c:extLst>
            <c:ext xmlns:c16="http://schemas.microsoft.com/office/drawing/2014/chart" uri="{C3380CC4-5D6E-409C-BE32-E72D297353CC}">
              <c16:uniqueId val="{00000002-B3E1-41D7-A0A9-9CE0CA3413F7}"/>
            </c:ext>
          </c:extLst>
        </c:ser>
        <c:dLbls>
          <c:showLegendKey val="0"/>
          <c:showVal val="0"/>
          <c:showCatName val="0"/>
          <c:showSerName val="0"/>
          <c:showPercent val="0"/>
          <c:showBubbleSize val="0"/>
        </c:dLbls>
        <c:marker val="1"/>
        <c:smooth val="0"/>
        <c:axId val="153826048"/>
        <c:axId val="153827584"/>
      </c:lineChart>
      <c:catAx>
        <c:axId val="153826048"/>
        <c:scaling>
          <c:orientation val="minMax"/>
        </c:scaling>
        <c:delete val="0"/>
        <c:axPos val="b"/>
        <c:numFmt formatCode="General" sourceLinked="0"/>
        <c:majorTickMark val="none"/>
        <c:minorTickMark val="none"/>
        <c:tickLblPos val="nextTo"/>
        <c:txPr>
          <a:bodyPr/>
          <a:lstStyle/>
          <a:p>
            <a:pPr>
              <a:defRPr lang="fr-FR" sz="800" b="1"/>
            </a:pPr>
            <a:endParaRPr lang="en-US"/>
          </a:p>
        </c:txPr>
        <c:crossAx val="153827584"/>
        <c:crosses val="autoZero"/>
        <c:auto val="1"/>
        <c:lblAlgn val="ctr"/>
        <c:lblOffset val="100"/>
        <c:noMultiLvlLbl val="0"/>
      </c:catAx>
      <c:valAx>
        <c:axId val="153827584"/>
        <c:scaling>
          <c:orientation val="minMax"/>
        </c:scaling>
        <c:delete val="0"/>
        <c:axPos val="l"/>
        <c:majorGridlines/>
        <c:numFmt formatCode="0.0" sourceLinked="1"/>
        <c:majorTickMark val="none"/>
        <c:minorTickMark val="none"/>
        <c:tickLblPos val="nextTo"/>
        <c:txPr>
          <a:bodyPr/>
          <a:lstStyle/>
          <a:p>
            <a:pPr>
              <a:defRPr lang="fr-FR" sz="800" b="1"/>
            </a:pPr>
            <a:endParaRPr lang="en-US"/>
          </a:p>
        </c:txPr>
        <c:crossAx val="153826048"/>
        <c:crosses val="autoZero"/>
        <c:crossBetween val="between"/>
      </c:valAx>
    </c:plotArea>
    <c:legend>
      <c:legendPos val="b"/>
      <c:overlay val="0"/>
      <c:txPr>
        <a:bodyPr/>
        <a:lstStyle/>
        <a:p>
          <a:pPr>
            <a:defRPr lang="fr-FR" sz="700" b="1"/>
          </a:pPr>
          <a:endParaRPr lang="en-US"/>
        </a:p>
      </c:txPr>
    </c:legend>
    <c:plotVisOnly val="1"/>
    <c:dispBlanksAs val="gap"/>
    <c:showDLblsOverMax val="0"/>
  </c:chart>
  <c:spPr>
    <a:ln w="31750">
      <a:solidFill>
        <a:srgbClr val="002060"/>
      </a:solid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fr-FR" sz="700"/>
            </a:pPr>
            <a:r>
              <a:rPr lang="fr-FR" sz="700" b="1"/>
              <a:t>Evolution du taux de croissance (%) des importations de biens et services</a:t>
            </a:r>
            <a:endParaRPr lang="fr-FR" sz="700"/>
          </a:p>
        </c:rich>
      </c:tx>
      <c:overlay val="0"/>
    </c:title>
    <c:autoTitleDeleted val="0"/>
    <c:plotArea>
      <c:layout/>
      <c:lineChart>
        <c:grouping val="standard"/>
        <c:varyColors val="0"/>
        <c:ser>
          <c:idx val="0"/>
          <c:order val="0"/>
          <c:tx>
            <c:strRef>
              <c:f>'Le PIB'!$A$308</c:f>
              <c:strCache>
                <c:ptCount val="1"/>
                <c:pt idx="0">
                  <c:v>Biens </c:v>
                </c:pt>
              </c:strCache>
            </c:strRef>
          </c:tx>
          <c:cat>
            <c:strRef>
              <c:f>'Le PIB'!$B$307:$H$307</c:f>
              <c:strCache>
                <c:ptCount val="7"/>
                <c:pt idx="0">
                  <c:v>2013</c:v>
                </c:pt>
                <c:pt idx="1">
                  <c:v>2014</c:v>
                </c:pt>
                <c:pt idx="2">
                  <c:v>2015</c:v>
                </c:pt>
                <c:pt idx="3">
                  <c:v>2016</c:v>
                </c:pt>
                <c:pt idx="4">
                  <c:v>2017</c:v>
                </c:pt>
                <c:pt idx="5">
                  <c:v>2018</c:v>
                </c:pt>
                <c:pt idx="6">
                  <c:v>9M2019</c:v>
                </c:pt>
              </c:strCache>
            </c:strRef>
          </c:cat>
          <c:val>
            <c:numRef>
              <c:f>'Le PIB'!$B$308:$H$308</c:f>
              <c:numCache>
                <c:formatCode>0.0</c:formatCode>
                <c:ptCount val="7"/>
                <c:pt idx="0">
                  <c:v>10.4</c:v>
                </c:pt>
                <c:pt idx="1">
                  <c:v>8.7000000000000011</c:v>
                </c:pt>
                <c:pt idx="2">
                  <c:v>7.1</c:v>
                </c:pt>
                <c:pt idx="3">
                  <c:v>-3.8</c:v>
                </c:pt>
                <c:pt idx="4">
                  <c:v>-8.6</c:v>
                </c:pt>
                <c:pt idx="5">
                  <c:v>-5.0999999999999996</c:v>
                </c:pt>
                <c:pt idx="6">
                  <c:v>-2.9333333333333336</c:v>
                </c:pt>
              </c:numCache>
            </c:numRef>
          </c:val>
          <c:smooth val="0"/>
          <c:extLst>
            <c:ext xmlns:c16="http://schemas.microsoft.com/office/drawing/2014/chart" uri="{C3380CC4-5D6E-409C-BE32-E72D297353CC}">
              <c16:uniqueId val="{00000000-C5A6-40F8-AADA-37C72373AD6C}"/>
            </c:ext>
          </c:extLst>
        </c:ser>
        <c:ser>
          <c:idx val="1"/>
          <c:order val="1"/>
          <c:tx>
            <c:strRef>
              <c:f>'Le PIB'!$A$309</c:f>
              <c:strCache>
                <c:ptCount val="1"/>
                <c:pt idx="0">
                  <c:v>Services</c:v>
                </c:pt>
              </c:strCache>
            </c:strRef>
          </c:tx>
          <c:cat>
            <c:strRef>
              <c:f>'Le PIB'!$B$307:$H$307</c:f>
              <c:strCache>
                <c:ptCount val="7"/>
                <c:pt idx="0">
                  <c:v>2013</c:v>
                </c:pt>
                <c:pt idx="1">
                  <c:v>2014</c:v>
                </c:pt>
                <c:pt idx="2">
                  <c:v>2015</c:v>
                </c:pt>
                <c:pt idx="3">
                  <c:v>2016</c:v>
                </c:pt>
                <c:pt idx="4">
                  <c:v>2017</c:v>
                </c:pt>
                <c:pt idx="5">
                  <c:v>2018</c:v>
                </c:pt>
                <c:pt idx="6">
                  <c:v>9M2019</c:v>
                </c:pt>
              </c:strCache>
            </c:strRef>
          </c:cat>
          <c:val>
            <c:numRef>
              <c:f>'Le PIB'!$B$309:$H$309</c:f>
              <c:numCache>
                <c:formatCode>0.0</c:formatCode>
                <c:ptCount val="7"/>
                <c:pt idx="0">
                  <c:v>6.1</c:v>
                </c:pt>
                <c:pt idx="1">
                  <c:v>6.8</c:v>
                </c:pt>
                <c:pt idx="2">
                  <c:v>5.4</c:v>
                </c:pt>
                <c:pt idx="3">
                  <c:v>3.1</c:v>
                </c:pt>
                <c:pt idx="4">
                  <c:v>1.3</c:v>
                </c:pt>
                <c:pt idx="5">
                  <c:v>4</c:v>
                </c:pt>
                <c:pt idx="6">
                  <c:v>2.7333333333333352</c:v>
                </c:pt>
              </c:numCache>
            </c:numRef>
          </c:val>
          <c:smooth val="0"/>
          <c:extLst>
            <c:ext xmlns:c16="http://schemas.microsoft.com/office/drawing/2014/chart" uri="{C3380CC4-5D6E-409C-BE32-E72D297353CC}">
              <c16:uniqueId val="{00000001-C5A6-40F8-AADA-37C72373AD6C}"/>
            </c:ext>
          </c:extLst>
        </c:ser>
        <c:dLbls>
          <c:showLegendKey val="0"/>
          <c:showVal val="0"/>
          <c:showCatName val="0"/>
          <c:showSerName val="0"/>
          <c:showPercent val="0"/>
          <c:showBubbleSize val="0"/>
        </c:dLbls>
        <c:marker val="1"/>
        <c:smooth val="0"/>
        <c:axId val="153877120"/>
        <c:axId val="153911680"/>
      </c:lineChart>
      <c:catAx>
        <c:axId val="153877120"/>
        <c:scaling>
          <c:orientation val="minMax"/>
        </c:scaling>
        <c:delete val="0"/>
        <c:axPos val="b"/>
        <c:numFmt formatCode="General" sourceLinked="0"/>
        <c:majorTickMark val="none"/>
        <c:minorTickMark val="none"/>
        <c:tickLblPos val="nextTo"/>
        <c:txPr>
          <a:bodyPr/>
          <a:lstStyle/>
          <a:p>
            <a:pPr>
              <a:defRPr lang="fr-FR" sz="900" b="1"/>
            </a:pPr>
            <a:endParaRPr lang="en-US"/>
          </a:p>
        </c:txPr>
        <c:crossAx val="153911680"/>
        <c:crosses val="autoZero"/>
        <c:auto val="1"/>
        <c:lblAlgn val="ctr"/>
        <c:lblOffset val="100"/>
        <c:noMultiLvlLbl val="0"/>
      </c:catAx>
      <c:valAx>
        <c:axId val="153911680"/>
        <c:scaling>
          <c:orientation val="minMax"/>
        </c:scaling>
        <c:delete val="0"/>
        <c:axPos val="l"/>
        <c:majorGridlines/>
        <c:numFmt formatCode="0.0" sourceLinked="1"/>
        <c:majorTickMark val="none"/>
        <c:minorTickMark val="none"/>
        <c:tickLblPos val="nextTo"/>
        <c:txPr>
          <a:bodyPr/>
          <a:lstStyle/>
          <a:p>
            <a:pPr>
              <a:defRPr lang="fr-FR" sz="900" b="1"/>
            </a:pPr>
            <a:endParaRPr lang="en-US"/>
          </a:p>
        </c:txPr>
        <c:crossAx val="153877120"/>
        <c:crosses val="autoZero"/>
        <c:crossBetween val="between"/>
      </c:valAx>
    </c:plotArea>
    <c:legend>
      <c:legendPos val="b"/>
      <c:overlay val="0"/>
      <c:txPr>
        <a:bodyPr/>
        <a:lstStyle/>
        <a:p>
          <a:pPr>
            <a:defRPr lang="fr-FR" sz="700" b="1"/>
          </a:pPr>
          <a:endParaRPr lang="en-US"/>
        </a:p>
      </c:txPr>
    </c:legend>
    <c:plotVisOnly val="1"/>
    <c:dispBlanksAs val="gap"/>
    <c:showDLblsOverMax val="0"/>
  </c:chart>
  <c:spPr>
    <a:ln w="31750">
      <a:solidFill>
        <a:srgbClr val="002060"/>
      </a:solid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fr-FR" sz="800" b="1"/>
            </a:pPr>
            <a:r>
              <a:rPr lang="fr-FR" sz="800" b="1"/>
              <a:t>Evolution des postes de la Balance Commerciale (milliards de US</a:t>
            </a:r>
            <a:r>
              <a:rPr lang="fr-FR" sz="800" b="1" baseline="0"/>
              <a:t> $)</a:t>
            </a:r>
            <a:r>
              <a:rPr lang="fr-FR" sz="800" b="1"/>
              <a:t> </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6979055287607644"/>
          <c:y val="0.20981225470303591"/>
          <c:w val="0.78083004755904262"/>
          <c:h val="0.57698234217095457"/>
        </c:manualLayout>
      </c:layout>
      <c:bar3DChart>
        <c:barDir val="col"/>
        <c:grouping val="clustered"/>
        <c:varyColors val="0"/>
        <c:ser>
          <c:idx val="0"/>
          <c:order val="0"/>
          <c:tx>
            <c:strRef>
              <c:f>BOP!$B$41</c:f>
              <c:strCache>
                <c:ptCount val="1"/>
                <c:pt idx="0">
                  <c:v>Export Hydroc.</c:v>
                </c:pt>
              </c:strCache>
            </c:strRef>
          </c:tx>
          <c:invertIfNegative val="0"/>
          <c:cat>
            <c:numRef>
              <c:f>BOP!$C$40:$H$40</c:f>
              <c:numCache>
                <c:formatCode>General</c:formatCode>
                <c:ptCount val="6"/>
                <c:pt idx="0">
                  <c:v>2013</c:v>
                </c:pt>
                <c:pt idx="1">
                  <c:v>2014</c:v>
                </c:pt>
                <c:pt idx="2">
                  <c:v>2015</c:v>
                </c:pt>
                <c:pt idx="3">
                  <c:v>2016</c:v>
                </c:pt>
                <c:pt idx="4">
                  <c:v>2017</c:v>
                </c:pt>
                <c:pt idx="5">
                  <c:v>2018</c:v>
                </c:pt>
              </c:numCache>
            </c:numRef>
          </c:cat>
          <c:val>
            <c:numRef>
              <c:f>BOP!$C$41:$H$41</c:f>
              <c:numCache>
                <c:formatCode>0.0</c:formatCode>
                <c:ptCount val="6"/>
                <c:pt idx="0">
                  <c:v>63.816000000000003</c:v>
                </c:pt>
                <c:pt idx="1">
                  <c:v>58.462000000000003</c:v>
                </c:pt>
                <c:pt idx="2">
                  <c:v>33.081000000000003</c:v>
                </c:pt>
                <c:pt idx="3">
                  <c:v>27.919999999999987</c:v>
                </c:pt>
                <c:pt idx="4">
                  <c:v>33.202000000000012</c:v>
                </c:pt>
                <c:pt idx="5">
                  <c:v>38.9</c:v>
                </c:pt>
              </c:numCache>
            </c:numRef>
          </c:val>
          <c:extLst>
            <c:ext xmlns:c16="http://schemas.microsoft.com/office/drawing/2014/chart" uri="{C3380CC4-5D6E-409C-BE32-E72D297353CC}">
              <c16:uniqueId val="{00000000-C007-4D40-A91D-43C101E6C21B}"/>
            </c:ext>
          </c:extLst>
        </c:ser>
        <c:ser>
          <c:idx val="1"/>
          <c:order val="1"/>
          <c:tx>
            <c:strRef>
              <c:f>BOP!$B$42</c:f>
              <c:strCache>
                <c:ptCount val="1"/>
                <c:pt idx="0">
                  <c:v>Export autres marchandises</c:v>
                </c:pt>
              </c:strCache>
            </c:strRef>
          </c:tx>
          <c:invertIfNegative val="0"/>
          <c:cat>
            <c:numRef>
              <c:f>BOP!$C$40:$H$40</c:f>
              <c:numCache>
                <c:formatCode>General</c:formatCode>
                <c:ptCount val="6"/>
                <c:pt idx="0">
                  <c:v>2013</c:v>
                </c:pt>
                <c:pt idx="1">
                  <c:v>2014</c:v>
                </c:pt>
                <c:pt idx="2">
                  <c:v>2015</c:v>
                </c:pt>
                <c:pt idx="3">
                  <c:v>2016</c:v>
                </c:pt>
                <c:pt idx="4">
                  <c:v>2017</c:v>
                </c:pt>
                <c:pt idx="5">
                  <c:v>2018</c:v>
                </c:pt>
              </c:numCache>
            </c:numRef>
          </c:cat>
          <c:val>
            <c:numRef>
              <c:f>BOP!$C$42:$H$42</c:f>
              <c:numCache>
                <c:formatCode>0.0</c:formatCode>
                <c:ptCount val="6"/>
                <c:pt idx="0">
                  <c:v>1.0509999999999964</c:v>
                </c:pt>
                <c:pt idx="1">
                  <c:v>1.167</c:v>
                </c:pt>
                <c:pt idx="2">
                  <c:v>1.4849999999999957</c:v>
                </c:pt>
                <c:pt idx="3">
                  <c:v>1.393</c:v>
                </c:pt>
                <c:pt idx="4">
                  <c:v>1.367</c:v>
                </c:pt>
                <c:pt idx="5">
                  <c:v>2.2200000000000002</c:v>
                </c:pt>
              </c:numCache>
            </c:numRef>
          </c:val>
          <c:extLst>
            <c:ext xmlns:c16="http://schemas.microsoft.com/office/drawing/2014/chart" uri="{C3380CC4-5D6E-409C-BE32-E72D297353CC}">
              <c16:uniqueId val="{00000001-C007-4D40-A91D-43C101E6C21B}"/>
            </c:ext>
          </c:extLst>
        </c:ser>
        <c:ser>
          <c:idx val="2"/>
          <c:order val="2"/>
          <c:tx>
            <c:strRef>
              <c:f>BOP!$B$43</c:f>
              <c:strCache>
                <c:ptCount val="1"/>
                <c:pt idx="0">
                  <c:v>Implortations</c:v>
                </c:pt>
              </c:strCache>
            </c:strRef>
          </c:tx>
          <c:invertIfNegative val="0"/>
          <c:cat>
            <c:numRef>
              <c:f>BOP!$C$40:$H$40</c:f>
              <c:numCache>
                <c:formatCode>General</c:formatCode>
                <c:ptCount val="6"/>
                <c:pt idx="0">
                  <c:v>2013</c:v>
                </c:pt>
                <c:pt idx="1">
                  <c:v>2014</c:v>
                </c:pt>
                <c:pt idx="2">
                  <c:v>2015</c:v>
                </c:pt>
                <c:pt idx="3">
                  <c:v>2016</c:v>
                </c:pt>
                <c:pt idx="4">
                  <c:v>2017</c:v>
                </c:pt>
                <c:pt idx="5">
                  <c:v>2018</c:v>
                </c:pt>
              </c:numCache>
            </c:numRef>
          </c:cat>
          <c:val>
            <c:numRef>
              <c:f>BOP!$C$43:$H$43</c:f>
              <c:numCache>
                <c:formatCode>0.0</c:formatCode>
                <c:ptCount val="6"/>
                <c:pt idx="0">
                  <c:v>54.99</c:v>
                </c:pt>
                <c:pt idx="1">
                  <c:v>59.67</c:v>
                </c:pt>
                <c:pt idx="2">
                  <c:v>52.649000000000001</c:v>
                </c:pt>
                <c:pt idx="3">
                  <c:v>49.437000000000005</c:v>
                </c:pt>
                <c:pt idx="4">
                  <c:v>48.981000000000002</c:v>
                </c:pt>
                <c:pt idx="5">
                  <c:v>48.57</c:v>
                </c:pt>
              </c:numCache>
            </c:numRef>
          </c:val>
          <c:extLst>
            <c:ext xmlns:c16="http://schemas.microsoft.com/office/drawing/2014/chart" uri="{C3380CC4-5D6E-409C-BE32-E72D297353CC}">
              <c16:uniqueId val="{00000002-C007-4D40-A91D-43C101E6C21B}"/>
            </c:ext>
          </c:extLst>
        </c:ser>
        <c:ser>
          <c:idx val="3"/>
          <c:order val="3"/>
          <c:tx>
            <c:strRef>
              <c:f>BOP!$B$44</c:f>
              <c:strCache>
                <c:ptCount val="1"/>
                <c:pt idx="0">
                  <c:v>Balance commerciale</c:v>
                </c:pt>
              </c:strCache>
            </c:strRef>
          </c:tx>
          <c:invertIfNegative val="0"/>
          <c:cat>
            <c:numRef>
              <c:f>BOP!$C$40:$H$40</c:f>
              <c:numCache>
                <c:formatCode>General</c:formatCode>
                <c:ptCount val="6"/>
                <c:pt idx="0">
                  <c:v>2013</c:v>
                </c:pt>
                <c:pt idx="1">
                  <c:v>2014</c:v>
                </c:pt>
                <c:pt idx="2">
                  <c:v>2015</c:v>
                </c:pt>
                <c:pt idx="3">
                  <c:v>2016</c:v>
                </c:pt>
                <c:pt idx="4">
                  <c:v>2017</c:v>
                </c:pt>
                <c:pt idx="5">
                  <c:v>2018</c:v>
                </c:pt>
              </c:numCache>
            </c:numRef>
          </c:cat>
          <c:val>
            <c:numRef>
              <c:f>BOP!$C$44:$H$44</c:f>
              <c:numCache>
                <c:formatCode>0.0</c:formatCode>
                <c:ptCount val="6"/>
                <c:pt idx="0">
                  <c:v>9.8770000000000007</c:v>
                </c:pt>
                <c:pt idx="1">
                  <c:v>-4.1000000000000002E-2</c:v>
                </c:pt>
                <c:pt idx="2">
                  <c:v>-18.082999999999924</c:v>
                </c:pt>
                <c:pt idx="3">
                  <c:v>-20.123999999999999</c:v>
                </c:pt>
                <c:pt idx="4">
                  <c:v>-14.412000000000004</c:v>
                </c:pt>
                <c:pt idx="5">
                  <c:v>-7.45</c:v>
                </c:pt>
              </c:numCache>
            </c:numRef>
          </c:val>
          <c:extLst>
            <c:ext xmlns:c16="http://schemas.microsoft.com/office/drawing/2014/chart" uri="{C3380CC4-5D6E-409C-BE32-E72D297353CC}">
              <c16:uniqueId val="{00000003-C007-4D40-A91D-43C101E6C21B}"/>
            </c:ext>
          </c:extLst>
        </c:ser>
        <c:dLbls>
          <c:showLegendKey val="0"/>
          <c:showVal val="0"/>
          <c:showCatName val="0"/>
          <c:showSerName val="0"/>
          <c:showPercent val="0"/>
          <c:showBubbleSize val="0"/>
        </c:dLbls>
        <c:gapWidth val="150"/>
        <c:shape val="box"/>
        <c:axId val="154434176"/>
        <c:axId val="154538368"/>
        <c:axId val="0"/>
      </c:bar3DChart>
      <c:catAx>
        <c:axId val="154434176"/>
        <c:scaling>
          <c:orientation val="minMax"/>
        </c:scaling>
        <c:delete val="0"/>
        <c:axPos val="b"/>
        <c:numFmt formatCode="General" sourceLinked="1"/>
        <c:majorTickMark val="none"/>
        <c:minorTickMark val="none"/>
        <c:tickLblPos val="nextTo"/>
        <c:txPr>
          <a:bodyPr/>
          <a:lstStyle/>
          <a:p>
            <a:pPr>
              <a:defRPr lang="fr-FR" sz="800" b="1"/>
            </a:pPr>
            <a:endParaRPr lang="en-US"/>
          </a:p>
        </c:txPr>
        <c:crossAx val="154538368"/>
        <c:crosses val="autoZero"/>
        <c:auto val="1"/>
        <c:lblAlgn val="ctr"/>
        <c:lblOffset val="100"/>
        <c:noMultiLvlLbl val="0"/>
      </c:catAx>
      <c:valAx>
        <c:axId val="154538368"/>
        <c:scaling>
          <c:orientation val="minMax"/>
        </c:scaling>
        <c:delete val="0"/>
        <c:axPos val="l"/>
        <c:majorGridlines/>
        <c:numFmt formatCode="0.0" sourceLinked="1"/>
        <c:majorTickMark val="none"/>
        <c:minorTickMark val="none"/>
        <c:tickLblPos val="nextTo"/>
        <c:txPr>
          <a:bodyPr/>
          <a:lstStyle/>
          <a:p>
            <a:pPr>
              <a:defRPr lang="fr-FR" sz="800" b="1"/>
            </a:pPr>
            <a:endParaRPr lang="en-US"/>
          </a:p>
        </c:txPr>
        <c:crossAx val="154434176"/>
        <c:crosses val="autoZero"/>
        <c:crossBetween val="between"/>
      </c:valAx>
    </c:plotArea>
    <c:legend>
      <c:legendPos val="b"/>
      <c:layout>
        <c:manualLayout>
          <c:xMode val="edge"/>
          <c:yMode val="edge"/>
          <c:x val="5.0633858267716485E-2"/>
          <c:y val="0.81365631379410963"/>
          <c:w val="0.93206561679790023"/>
          <c:h val="0.14930664916885389"/>
        </c:manualLayout>
      </c:layout>
      <c:overlay val="0"/>
      <c:txPr>
        <a:bodyPr/>
        <a:lstStyle/>
        <a:p>
          <a:pPr>
            <a:defRPr lang="fr-FR" sz="800" b="1"/>
          </a:pPr>
          <a:endParaRPr lang="en-US"/>
        </a:p>
      </c:txPr>
    </c:legend>
    <c:plotVisOnly val="1"/>
    <c:dispBlanksAs val="gap"/>
    <c:showDLblsOverMax val="0"/>
  </c:chart>
  <c:spPr>
    <a:ln w="31750">
      <a:solidFill>
        <a:srgbClr val="002060"/>
      </a:solid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fr-FR" sz="700"/>
            </a:pPr>
            <a:r>
              <a:rPr lang="fr-FR" sz="700" b="1"/>
              <a:t>Evolution des postes des comptes courants (milliards de US$)</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3511257053884337"/>
          <c:y val="0.19157019666774422"/>
          <c:w val="0.81550802989627458"/>
          <c:h val="0.60638012528722385"/>
        </c:manualLayout>
      </c:layout>
      <c:bar3DChart>
        <c:barDir val="col"/>
        <c:grouping val="clustered"/>
        <c:varyColors val="0"/>
        <c:ser>
          <c:idx val="0"/>
          <c:order val="0"/>
          <c:tx>
            <c:strRef>
              <c:f>BOP!$B$51</c:f>
              <c:strCache>
                <c:ptCount val="1"/>
                <c:pt idx="0">
                  <c:v>Marchandises FOB/FOB (net)</c:v>
                </c:pt>
              </c:strCache>
            </c:strRef>
          </c:tx>
          <c:invertIfNegative val="0"/>
          <c:cat>
            <c:numRef>
              <c:f>BOP!$C$50:$H$50</c:f>
              <c:numCache>
                <c:formatCode>General</c:formatCode>
                <c:ptCount val="6"/>
                <c:pt idx="0">
                  <c:v>2013</c:v>
                </c:pt>
                <c:pt idx="1">
                  <c:v>2014</c:v>
                </c:pt>
                <c:pt idx="2">
                  <c:v>2015</c:v>
                </c:pt>
                <c:pt idx="3">
                  <c:v>2016</c:v>
                </c:pt>
                <c:pt idx="4">
                  <c:v>2017</c:v>
                </c:pt>
                <c:pt idx="5">
                  <c:v>2018</c:v>
                </c:pt>
              </c:numCache>
            </c:numRef>
          </c:cat>
          <c:val>
            <c:numRef>
              <c:f>BOP!$C$51:$H$51</c:f>
              <c:numCache>
                <c:formatCode>General</c:formatCode>
                <c:ptCount val="6"/>
                <c:pt idx="0">
                  <c:v>9.8770000000000007</c:v>
                </c:pt>
                <c:pt idx="1">
                  <c:v>-4.1000000000000002E-2</c:v>
                </c:pt>
                <c:pt idx="2">
                  <c:v>-18.082999999999924</c:v>
                </c:pt>
                <c:pt idx="3">
                  <c:v>-20.123999999999999</c:v>
                </c:pt>
                <c:pt idx="4">
                  <c:v>-14.412000000000004</c:v>
                </c:pt>
                <c:pt idx="5">
                  <c:v>-7.45</c:v>
                </c:pt>
              </c:numCache>
            </c:numRef>
          </c:val>
          <c:extLst>
            <c:ext xmlns:c16="http://schemas.microsoft.com/office/drawing/2014/chart" uri="{C3380CC4-5D6E-409C-BE32-E72D297353CC}">
              <c16:uniqueId val="{00000000-B635-4325-8202-9771F5806774}"/>
            </c:ext>
          </c:extLst>
        </c:ser>
        <c:ser>
          <c:idx val="1"/>
          <c:order val="1"/>
          <c:tx>
            <c:strRef>
              <c:f>BOP!$B$52</c:f>
              <c:strCache>
                <c:ptCount val="1"/>
                <c:pt idx="0">
                  <c:v>Services Non facteurs</c:v>
                </c:pt>
              </c:strCache>
            </c:strRef>
          </c:tx>
          <c:invertIfNegative val="0"/>
          <c:cat>
            <c:numRef>
              <c:f>BOP!$C$50:$H$50</c:f>
              <c:numCache>
                <c:formatCode>General</c:formatCode>
                <c:ptCount val="6"/>
                <c:pt idx="0">
                  <c:v>2013</c:v>
                </c:pt>
                <c:pt idx="1">
                  <c:v>2014</c:v>
                </c:pt>
                <c:pt idx="2">
                  <c:v>2015</c:v>
                </c:pt>
                <c:pt idx="3">
                  <c:v>2016</c:v>
                </c:pt>
                <c:pt idx="4">
                  <c:v>2017</c:v>
                </c:pt>
                <c:pt idx="5">
                  <c:v>2018</c:v>
                </c:pt>
              </c:numCache>
            </c:numRef>
          </c:cat>
          <c:val>
            <c:numRef>
              <c:f>BOP!$C$52:$H$52</c:f>
              <c:numCache>
                <c:formatCode>General</c:formatCode>
                <c:ptCount val="6"/>
                <c:pt idx="0">
                  <c:v>-6.9980000000000002</c:v>
                </c:pt>
                <c:pt idx="1">
                  <c:v>-8.141</c:v>
                </c:pt>
                <c:pt idx="2">
                  <c:v>-7.5219999999999985</c:v>
                </c:pt>
                <c:pt idx="3">
                  <c:v>-7.35</c:v>
                </c:pt>
                <c:pt idx="4">
                  <c:v>-8.0419999999999998</c:v>
                </c:pt>
                <c:pt idx="5">
                  <c:v>-8.17</c:v>
                </c:pt>
              </c:numCache>
            </c:numRef>
          </c:val>
          <c:extLst>
            <c:ext xmlns:c16="http://schemas.microsoft.com/office/drawing/2014/chart" uri="{C3380CC4-5D6E-409C-BE32-E72D297353CC}">
              <c16:uniqueId val="{00000001-B635-4325-8202-9771F5806774}"/>
            </c:ext>
          </c:extLst>
        </c:ser>
        <c:ser>
          <c:idx val="2"/>
          <c:order val="2"/>
          <c:tx>
            <c:strRef>
              <c:f>BOP!$B$53</c:f>
              <c:strCache>
                <c:ptCount val="1"/>
                <c:pt idx="0">
                  <c:v>Revenu du capital</c:v>
                </c:pt>
              </c:strCache>
            </c:strRef>
          </c:tx>
          <c:invertIfNegative val="0"/>
          <c:cat>
            <c:numRef>
              <c:f>BOP!$C$50:$H$50</c:f>
              <c:numCache>
                <c:formatCode>General</c:formatCode>
                <c:ptCount val="6"/>
                <c:pt idx="0">
                  <c:v>2013</c:v>
                </c:pt>
                <c:pt idx="1">
                  <c:v>2014</c:v>
                </c:pt>
                <c:pt idx="2">
                  <c:v>2015</c:v>
                </c:pt>
                <c:pt idx="3">
                  <c:v>2016</c:v>
                </c:pt>
                <c:pt idx="4">
                  <c:v>2017</c:v>
                </c:pt>
                <c:pt idx="5">
                  <c:v>2018</c:v>
                </c:pt>
              </c:numCache>
            </c:numRef>
          </c:cat>
          <c:val>
            <c:numRef>
              <c:f>BOP!$C$53:$H$53</c:f>
              <c:numCache>
                <c:formatCode>General</c:formatCode>
                <c:ptCount val="6"/>
                <c:pt idx="0">
                  <c:v>-4.5209999999999955</c:v>
                </c:pt>
                <c:pt idx="1">
                  <c:v>-4.8139999999999965</c:v>
                </c:pt>
                <c:pt idx="2">
                  <c:v>-4.45</c:v>
                </c:pt>
                <c:pt idx="3">
                  <c:v>-1.57</c:v>
                </c:pt>
                <c:pt idx="4">
                  <c:v>-2.5939999999999999</c:v>
                </c:pt>
                <c:pt idx="5">
                  <c:v>-4.42</c:v>
                </c:pt>
              </c:numCache>
            </c:numRef>
          </c:val>
          <c:extLst>
            <c:ext xmlns:c16="http://schemas.microsoft.com/office/drawing/2014/chart" uri="{C3380CC4-5D6E-409C-BE32-E72D297353CC}">
              <c16:uniqueId val="{00000002-B635-4325-8202-9771F5806774}"/>
            </c:ext>
          </c:extLst>
        </c:ser>
        <c:ser>
          <c:idx val="3"/>
          <c:order val="3"/>
          <c:tx>
            <c:strRef>
              <c:f>BOP!$B$54</c:f>
              <c:strCache>
                <c:ptCount val="1"/>
                <c:pt idx="0">
                  <c:v>Transferts nets</c:v>
                </c:pt>
              </c:strCache>
            </c:strRef>
          </c:tx>
          <c:invertIfNegative val="0"/>
          <c:cat>
            <c:numRef>
              <c:f>BOP!$C$50:$H$50</c:f>
              <c:numCache>
                <c:formatCode>General</c:formatCode>
                <c:ptCount val="6"/>
                <c:pt idx="0">
                  <c:v>2013</c:v>
                </c:pt>
                <c:pt idx="1">
                  <c:v>2014</c:v>
                </c:pt>
                <c:pt idx="2">
                  <c:v>2015</c:v>
                </c:pt>
                <c:pt idx="3">
                  <c:v>2016</c:v>
                </c:pt>
                <c:pt idx="4">
                  <c:v>2017</c:v>
                </c:pt>
                <c:pt idx="5">
                  <c:v>2018</c:v>
                </c:pt>
              </c:numCache>
            </c:numRef>
          </c:cat>
          <c:val>
            <c:numRef>
              <c:f>BOP!$C$54:$H$54</c:f>
              <c:numCache>
                <c:formatCode>General</c:formatCode>
                <c:ptCount val="6"/>
                <c:pt idx="0">
                  <c:v>2.7919999999999998</c:v>
                </c:pt>
                <c:pt idx="1">
                  <c:v>3.7189999999999999</c:v>
                </c:pt>
                <c:pt idx="2">
                  <c:v>2.77</c:v>
                </c:pt>
                <c:pt idx="3">
                  <c:v>2.82</c:v>
                </c:pt>
                <c:pt idx="4">
                  <c:v>2.9549999999999987</c:v>
                </c:pt>
                <c:pt idx="5">
                  <c:v>3.3499999999999988</c:v>
                </c:pt>
              </c:numCache>
            </c:numRef>
          </c:val>
          <c:extLst>
            <c:ext xmlns:c16="http://schemas.microsoft.com/office/drawing/2014/chart" uri="{C3380CC4-5D6E-409C-BE32-E72D297353CC}">
              <c16:uniqueId val="{00000003-B635-4325-8202-9771F5806774}"/>
            </c:ext>
          </c:extLst>
        </c:ser>
        <c:dLbls>
          <c:showLegendKey val="0"/>
          <c:showVal val="0"/>
          <c:showCatName val="0"/>
          <c:showSerName val="0"/>
          <c:showPercent val="0"/>
          <c:showBubbleSize val="0"/>
        </c:dLbls>
        <c:gapWidth val="150"/>
        <c:shape val="box"/>
        <c:axId val="154569344"/>
        <c:axId val="154583424"/>
        <c:axId val="0"/>
      </c:bar3DChart>
      <c:catAx>
        <c:axId val="154569344"/>
        <c:scaling>
          <c:orientation val="minMax"/>
        </c:scaling>
        <c:delete val="0"/>
        <c:axPos val="b"/>
        <c:numFmt formatCode="General" sourceLinked="1"/>
        <c:majorTickMark val="none"/>
        <c:minorTickMark val="none"/>
        <c:tickLblPos val="nextTo"/>
        <c:txPr>
          <a:bodyPr/>
          <a:lstStyle/>
          <a:p>
            <a:pPr>
              <a:defRPr lang="fr-FR" sz="800" b="1"/>
            </a:pPr>
            <a:endParaRPr lang="en-US"/>
          </a:p>
        </c:txPr>
        <c:crossAx val="154583424"/>
        <c:crosses val="autoZero"/>
        <c:auto val="1"/>
        <c:lblAlgn val="ctr"/>
        <c:lblOffset val="100"/>
        <c:noMultiLvlLbl val="0"/>
      </c:catAx>
      <c:valAx>
        <c:axId val="154583424"/>
        <c:scaling>
          <c:orientation val="minMax"/>
        </c:scaling>
        <c:delete val="0"/>
        <c:axPos val="l"/>
        <c:majorGridlines/>
        <c:numFmt formatCode="General" sourceLinked="1"/>
        <c:majorTickMark val="none"/>
        <c:minorTickMark val="none"/>
        <c:tickLblPos val="nextTo"/>
        <c:txPr>
          <a:bodyPr/>
          <a:lstStyle/>
          <a:p>
            <a:pPr>
              <a:defRPr lang="fr-FR" sz="800" b="1"/>
            </a:pPr>
            <a:endParaRPr lang="en-US"/>
          </a:p>
        </c:txPr>
        <c:crossAx val="154569344"/>
        <c:crosses val="autoZero"/>
        <c:crossBetween val="between"/>
      </c:valAx>
    </c:plotArea>
    <c:legend>
      <c:legendPos val="b"/>
      <c:layout>
        <c:manualLayout>
          <c:xMode val="edge"/>
          <c:yMode val="edge"/>
          <c:x val="5.7768948946932422E-2"/>
          <c:y val="0.81173228346456694"/>
          <c:w val="0.89299409886130454"/>
          <c:h val="0.16048993875765541"/>
        </c:manualLayout>
      </c:layout>
      <c:overlay val="0"/>
      <c:txPr>
        <a:bodyPr/>
        <a:lstStyle/>
        <a:p>
          <a:pPr>
            <a:defRPr lang="fr-FR" sz="700" b="1"/>
          </a:pPr>
          <a:endParaRPr lang="en-US"/>
        </a:p>
      </c:txPr>
    </c:legend>
    <c:plotVisOnly val="1"/>
    <c:dispBlanksAs val="gap"/>
    <c:showDLblsOverMax val="0"/>
  </c:chart>
  <c:spPr>
    <a:ln w="31750">
      <a:solidFill>
        <a:srgbClr val="002060"/>
      </a:solidFill>
    </a:ln>
  </c:sp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5C132-1145-49B5-BC87-FE95A758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20634</Words>
  <Characters>117619</Characters>
  <Application>Microsoft Office Word</Application>
  <DocSecurity>0</DocSecurity>
  <Lines>980</Lines>
  <Paragraphs>275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137978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CLINIQUE INFO</dc:creator>
  <cp:lastModifiedBy>Andson Nsune</cp:lastModifiedBy>
  <cp:revision>2</cp:revision>
  <cp:lastPrinted>2020-01-28T10:08:00Z</cp:lastPrinted>
  <dcterms:created xsi:type="dcterms:W3CDTF">2020-02-06T09:58:00Z</dcterms:created>
  <dcterms:modified xsi:type="dcterms:W3CDTF">2020-02-06T09:58:00Z</dcterms:modified>
</cp:coreProperties>
</file>