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2E35B" w14:textId="1FC369B7" w:rsidR="004F5B8A" w:rsidRDefault="002825F0" w:rsidP="00AE39B0">
      <w:pPr>
        <w:spacing w:after="0" w:line="240" w:lineRule="auto"/>
        <w:contextualSpacing/>
        <w:jc w:val="right"/>
        <w:rPr>
          <w:b/>
          <w:sz w:val="28"/>
          <w:szCs w:val="28"/>
          <w:lang w:val="fr-FR"/>
        </w:rPr>
      </w:pPr>
      <w:r w:rsidRPr="0068123E">
        <w:rPr>
          <w:rFonts w:ascii="Arial" w:eastAsia="Times New Roman" w:hAnsi="Arial" w:cs="Arial"/>
          <w:noProof/>
          <w:sz w:val="23"/>
          <w:szCs w:val="23"/>
          <w:lang w:eastAsia="en-ZA"/>
        </w:rPr>
        <w:drawing>
          <wp:inline distT="0" distB="0" distL="0" distR="0" wp14:anchorId="277AA34E" wp14:editId="26D7BE7B">
            <wp:extent cx="847725" cy="1000125"/>
            <wp:effectExtent l="19050" t="0" r="9525" b="0"/>
            <wp:docPr id="6" name="Image 6" descr="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4"/>
                    <pic:cNvPicPr>
                      <a:picLocks noChangeAspect="1" noChangeArrowheads="1"/>
                    </pic:cNvPicPr>
                  </pic:nvPicPr>
                  <pic:blipFill>
                    <a:blip r:embed="rId5" cstate="print"/>
                    <a:srcRect/>
                    <a:stretch>
                      <a:fillRect/>
                    </a:stretch>
                  </pic:blipFill>
                  <pic:spPr bwMode="auto">
                    <a:xfrm>
                      <a:off x="0" y="0"/>
                      <a:ext cx="847725" cy="1000125"/>
                    </a:xfrm>
                    <a:prstGeom prst="rect">
                      <a:avLst/>
                    </a:prstGeom>
                    <a:noFill/>
                    <a:ln w="9525">
                      <a:noFill/>
                      <a:miter lim="800000"/>
                      <a:headEnd/>
                      <a:tailEnd/>
                    </a:ln>
                  </pic:spPr>
                </pic:pic>
              </a:graphicData>
            </a:graphic>
          </wp:inline>
        </w:drawing>
      </w:r>
      <w:r w:rsidR="00AE39B0">
        <w:rPr>
          <w:b/>
          <w:sz w:val="28"/>
          <w:szCs w:val="28"/>
          <w:lang w:val="fr-FR"/>
        </w:rPr>
        <w:t xml:space="preserve">                                                                    </w:t>
      </w:r>
      <w:bookmarkStart w:id="0" w:name="_GoBack"/>
      <w:bookmarkEnd w:id="0"/>
      <w:r w:rsidR="000F5B15" w:rsidRPr="000F5B15">
        <w:rPr>
          <w:rFonts w:ascii="Calibri" w:eastAsia="Calibri" w:hAnsi="Calibri" w:cs="Times New Roman"/>
          <w:noProof/>
          <w:lang w:eastAsia="en-ZA"/>
        </w:rPr>
        <w:drawing>
          <wp:inline distT="0" distB="0" distL="0" distR="0" wp14:anchorId="02B7510E" wp14:editId="522600DC">
            <wp:extent cx="2443480" cy="1021715"/>
            <wp:effectExtent l="0" t="0" r="0" b="6985"/>
            <wp:docPr id="1" name="Picture 1" descr="NEW NEPAD LOGO - FRENCH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EPAD LOGO - FRENCH (Sm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3480" cy="1021715"/>
                    </a:xfrm>
                    <a:prstGeom prst="rect">
                      <a:avLst/>
                    </a:prstGeom>
                    <a:noFill/>
                    <a:ln>
                      <a:noFill/>
                    </a:ln>
                  </pic:spPr>
                </pic:pic>
              </a:graphicData>
            </a:graphic>
          </wp:inline>
        </w:drawing>
      </w:r>
    </w:p>
    <w:p w14:paraId="7B4E506C" w14:textId="7718F8FD" w:rsidR="00743EED" w:rsidRPr="00FF4137" w:rsidRDefault="007116F3" w:rsidP="004F5B8A">
      <w:pPr>
        <w:jc w:val="center"/>
        <w:rPr>
          <w:b/>
          <w:sz w:val="28"/>
          <w:szCs w:val="28"/>
          <w:lang w:val="fr-FR"/>
        </w:rPr>
      </w:pPr>
      <w:r w:rsidRPr="00FF4137">
        <w:rPr>
          <w:b/>
          <w:sz w:val="28"/>
          <w:szCs w:val="28"/>
          <w:lang w:val="fr-FR"/>
        </w:rPr>
        <w:t>Agence de Développement de l’Union Africaine (ADUA – NEPAD)</w:t>
      </w:r>
    </w:p>
    <w:p w14:paraId="06703A0C" w14:textId="77777777" w:rsidR="007116F3" w:rsidRPr="00FF4137" w:rsidRDefault="00FF4137" w:rsidP="00FF4137">
      <w:pPr>
        <w:jc w:val="center"/>
        <w:rPr>
          <w:b/>
          <w:sz w:val="28"/>
          <w:szCs w:val="28"/>
          <w:lang w:val="fr-FR"/>
        </w:rPr>
      </w:pPr>
      <w:r w:rsidRPr="00FF4137">
        <w:rPr>
          <w:b/>
          <w:sz w:val="28"/>
          <w:szCs w:val="28"/>
          <w:lang w:val="fr-FR"/>
        </w:rPr>
        <w:t xml:space="preserve">APPEL A MANIFESTATION </w:t>
      </w:r>
      <w:r w:rsidR="007116F3" w:rsidRPr="00FF4137">
        <w:rPr>
          <w:b/>
          <w:sz w:val="28"/>
          <w:szCs w:val="28"/>
          <w:lang w:val="fr-FR"/>
        </w:rPr>
        <w:t>D’INTERET (</w:t>
      </w:r>
      <w:r w:rsidRPr="00FF4137">
        <w:rPr>
          <w:b/>
          <w:sz w:val="28"/>
          <w:szCs w:val="28"/>
          <w:lang w:val="fr-FR"/>
        </w:rPr>
        <w:t>AMI</w:t>
      </w:r>
      <w:r w:rsidR="007116F3" w:rsidRPr="00FF4137">
        <w:rPr>
          <w:b/>
          <w:sz w:val="28"/>
          <w:szCs w:val="28"/>
          <w:lang w:val="fr-FR"/>
        </w:rPr>
        <w:t>)</w:t>
      </w:r>
    </w:p>
    <w:p w14:paraId="1A6F86C0" w14:textId="1FF26063" w:rsidR="007116F3" w:rsidRPr="00FF4137" w:rsidRDefault="00FF4137" w:rsidP="00FF4137">
      <w:pPr>
        <w:jc w:val="center"/>
        <w:rPr>
          <w:b/>
          <w:sz w:val="28"/>
          <w:szCs w:val="28"/>
          <w:lang w:val="fr-FR"/>
        </w:rPr>
      </w:pPr>
      <w:r w:rsidRPr="00FF4137">
        <w:rPr>
          <w:b/>
          <w:sz w:val="28"/>
          <w:szCs w:val="28"/>
          <w:lang w:val="fr-FR"/>
        </w:rPr>
        <w:t xml:space="preserve">PHASE DE </w:t>
      </w:r>
      <w:r w:rsidR="00CD32EA">
        <w:rPr>
          <w:b/>
          <w:sz w:val="28"/>
          <w:szCs w:val="28"/>
          <w:lang w:val="fr-FR"/>
        </w:rPr>
        <w:t>PRE</w:t>
      </w:r>
      <w:r w:rsidR="007116F3" w:rsidRPr="00FF4137">
        <w:rPr>
          <w:b/>
          <w:sz w:val="28"/>
          <w:szCs w:val="28"/>
          <w:lang w:val="fr-FR"/>
        </w:rPr>
        <w:t>SELECTION DE CABINETS</w:t>
      </w:r>
      <w:r w:rsidRPr="00FF4137">
        <w:rPr>
          <w:b/>
          <w:sz w:val="28"/>
          <w:szCs w:val="28"/>
          <w:lang w:val="fr-FR"/>
        </w:rPr>
        <w:t xml:space="preserve"> DE CONSULTANTS</w:t>
      </w:r>
    </w:p>
    <w:p w14:paraId="4391238E" w14:textId="77777777" w:rsidR="007116F3" w:rsidRPr="00FF4137" w:rsidRDefault="007116F3" w:rsidP="00FF4137">
      <w:pPr>
        <w:jc w:val="center"/>
        <w:rPr>
          <w:b/>
          <w:lang w:val="fr-FR"/>
        </w:rPr>
      </w:pPr>
      <w:r w:rsidRPr="00FF4137">
        <w:rPr>
          <w:b/>
          <w:lang w:val="fr-FR"/>
        </w:rPr>
        <w:t>PRESTATIONS DE SERVICES DE CONSULTATION POUR UNE ETUDE DE FAISABILITE REGIONALE SUR LE DEVELOPPEMENT DE LA BIOENERGIE DANS LES PAYS DE L’UEMOA</w:t>
      </w:r>
    </w:p>
    <w:p w14:paraId="578DE6C5" w14:textId="54CCFBEC" w:rsidR="007116F3" w:rsidRPr="004F5B8A" w:rsidRDefault="007116F3" w:rsidP="004F5B8A">
      <w:pPr>
        <w:jc w:val="center"/>
        <w:rPr>
          <w:b/>
          <w:lang w:val="fr-FR"/>
        </w:rPr>
      </w:pPr>
      <w:r w:rsidRPr="00FF4137">
        <w:rPr>
          <w:b/>
          <w:lang w:val="fr-FR"/>
        </w:rPr>
        <w:t>44/NPCA/NRG/UEMOA/QCBS/2019</w:t>
      </w:r>
    </w:p>
    <w:p w14:paraId="79DAF5CB" w14:textId="77777777" w:rsidR="007116F3" w:rsidRPr="00FF4137" w:rsidRDefault="007116F3" w:rsidP="007116F3">
      <w:pPr>
        <w:rPr>
          <w:b/>
          <w:lang w:val="fr-FR"/>
        </w:rPr>
      </w:pPr>
      <w:r w:rsidRPr="00FF4137">
        <w:rPr>
          <w:b/>
          <w:lang w:val="fr-FR"/>
        </w:rPr>
        <w:t>INTRODUCTION</w:t>
      </w:r>
    </w:p>
    <w:p w14:paraId="601471F8" w14:textId="77777777" w:rsidR="007116F3" w:rsidRPr="0092641F" w:rsidRDefault="007116F3" w:rsidP="007116F3">
      <w:pPr>
        <w:jc w:val="both"/>
        <w:rPr>
          <w:rFonts w:ascii="Arial" w:hAnsi="Arial" w:cs="Arial"/>
          <w:sz w:val="23"/>
          <w:szCs w:val="23"/>
          <w:lang w:val="fr-FR"/>
        </w:rPr>
      </w:pPr>
      <w:r w:rsidRPr="0092641F">
        <w:rPr>
          <w:rFonts w:ascii="Arial" w:hAnsi="Arial" w:cs="Arial"/>
          <w:sz w:val="23"/>
          <w:szCs w:val="23"/>
          <w:lang w:val="fr-FR"/>
        </w:rPr>
        <w:t xml:space="preserve">L'Union économique et monétaire ouest-africaine (UEMOA) compte huit (08) États membres: Le Bénin, le Burkina Faso, la Côte d'Ivoire, la Guinée-Bissau, le Mali, le Niger, le Sénégal et le Togo, avec une superficie de 3 500 000 km² et une population </w:t>
      </w:r>
      <w:r>
        <w:rPr>
          <w:rFonts w:ascii="Arial" w:hAnsi="Arial" w:cs="Arial"/>
          <w:sz w:val="23"/>
          <w:szCs w:val="23"/>
          <w:lang w:val="fr-FR"/>
        </w:rPr>
        <w:t xml:space="preserve">estimée en 2017 à </w:t>
      </w:r>
      <w:r w:rsidRPr="000F5B15">
        <w:rPr>
          <w:rFonts w:ascii="Arial" w:hAnsi="Arial" w:cs="Arial"/>
          <w:sz w:val="23"/>
          <w:szCs w:val="23"/>
          <w:lang w:val="fr-FR"/>
        </w:rPr>
        <w:t>plus de 120 millions d'habitants.</w:t>
      </w:r>
    </w:p>
    <w:p w14:paraId="0B650F70" w14:textId="323173BF" w:rsidR="007116F3" w:rsidRDefault="009116A6" w:rsidP="007116F3">
      <w:pPr>
        <w:rPr>
          <w:rFonts w:ascii="Arial" w:hAnsi="Arial" w:cs="Arial"/>
          <w:sz w:val="23"/>
          <w:szCs w:val="23"/>
          <w:lang w:val="fr-FR"/>
        </w:rPr>
      </w:pPr>
      <w:r w:rsidRPr="0092641F">
        <w:rPr>
          <w:rFonts w:ascii="Arial" w:hAnsi="Arial" w:cs="Arial"/>
          <w:sz w:val="23"/>
          <w:szCs w:val="23"/>
          <w:lang w:val="fr-FR"/>
        </w:rPr>
        <w:t>L'espace géographique, politique et économique de l'UEMOA est co</w:t>
      </w:r>
      <w:r>
        <w:rPr>
          <w:rFonts w:ascii="Arial" w:hAnsi="Arial" w:cs="Arial"/>
          <w:sz w:val="23"/>
          <w:szCs w:val="23"/>
          <w:lang w:val="fr-FR"/>
        </w:rPr>
        <w:t>nfronté à un besoin croissant en</w:t>
      </w:r>
      <w:r w:rsidRPr="0092641F">
        <w:rPr>
          <w:rFonts w:ascii="Arial" w:hAnsi="Arial" w:cs="Arial"/>
          <w:sz w:val="23"/>
          <w:szCs w:val="23"/>
          <w:lang w:val="fr-FR"/>
        </w:rPr>
        <w:t xml:space="preserve"> sources d'énergie abordables </w:t>
      </w:r>
      <w:r>
        <w:rPr>
          <w:rFonts w:ascii="Arial" w:hAnsi="Arial" w:cs="Arial"/>
          <w:sz w:val="23"/>
          <w:szCs w:val="23"/>
          <w:lang w:val="fr-FR"/>
        </w:rPr>
        <w:t>pour</w:t>
      </w:r>
      <w:r w:rsidR="00CD32EA">
        <w:rPr>
          <w:rFonts w:ascii="Arial" w:hAnsi="Arial" w:cs="Arial"/>
          <w:sz w:val="23"/>
          <w:szCs w:val="23"/>
          <w:lang w:val="fr-FR"/>
        </w:rPr>
        <w:t xml:space="preserve"> combler les déficits</w:t>
      </w:r>
      <w:r w:rsidRPr="0092641F">
        <w:rPr>
          <w:rFonts w:ascii="Arial" w:hAnsi="Arial" w:cs="Arial"/>
          <w:sz w:val="23"/>
          <w:szCs w:val="23"/>
          <w:lang w:val="fr-FR"/>
        </w:rPr>
        <w:t xml:space="preserve"> chroniques dans la fourniture (production, transport et distribution) de produits et services énergétiques </w:t>
      </w:r>
      <w:r>
        <w:rPr>
          <w:rFonts w:ascii="Arial" w:hAnsi="Arial" w:cs="Arial"/>
          <w:sz w:val="23"/>
          <w:szCs w:val="23"/>
          <w:lang w:val="fr-FR"/>
        </w:rPr>
        <w:t>et</w:t>
      </w:r>
      <w:r w:rsidRPr="0092641F">
        <w:rPr>
          <w:rFonts w:ascii="Arial" w:hAnsi="Arial" w:cs="Arial"/>
          <w:sz w:val="23"/>
          <w:szCs w:val="23"/>
          <w:lang w:val="fr-FR"/>
        </w:rPr>
        <w:t xml:space="preserve"> répondre aux besoins de l'économie, tout en préservant l'environnement et en favorisant la reforestation et la biodiversité.</w:t>
      </w:r>
    </w:p>
    <w:p w14:paraId="3F0DF515" w14:textId="77777777" w:rsidR="009116A6" w:rsidRDefault="009116A6" w:rsidP="009116A6">
      <w:pPr>
        <w:jc w:val="both"/>
        <w:rPr>
          <w:rFonts w:ascii="Arial" w:hAnsi="Arial" w:cs="Arial"/>
          <w:sz w:val="23"/>
          <w:szCs w:val="23"/>
          <w:lang w:val="fr-FR"/>
        </w:rPr>
      </w:pPr>
      <w:r w:rsidRPr="0092641F">
        <w:rPr>
          <w:rFonts w:ascii="Arial" w:hAnsi="Arial" w:cs="Arial"/>
          <w:sz w:val="23"/>
          <w:szCs w:val="23"/>
          <w:lang w:val="fr-FR"/>
        </w:rPr>
        <w:t>C'est dans ce contexte que l'UEMOA a adopté</w:t>
      </w:r>
      <w:r>
        <w:rPr>
          <w:rFonts w:ascii="Arial" w:hAnsi="Arial" w:cs="Arial"/>
          <w:sz w:val="23"/>
          <w:szCs w:val="23"/>
          <w:lang w:val="fr-FR"/>
        </w:rPr>
        <w:t>,</w:t>
      </w:r>
      <w:r w:rsidRPr="0092641F">
        <w:rPr>
          <w:rFonts w:ascii="Arial" w:hAnsi="Arial" w:cs="Arial"/>
          <w:sz w:val="23"/>
          <w:szCs w:val="23"/>
          <w:lang w:val="fr-FR"/>
        </w:rPr>
        <w:t xml:space="preserve"> en décembre 2001</w:t>
      </w:r>
      <w:r>
        <w:rPr>
          <w:rFonts w:ascii="Arial" w:hAnsi="Arial" w:cs="Arial"/>
          <w:sz w:val="23"/>
          <w:szCs w:val="23"/>
          <w:lang w:val="fr-FR"/>
        </w:rPr>
        <w:t>,</w:t>
      </w:r>
      <w:r w:rsidRPr="0092641F">
        <w:rPr>
          <w:rFonts w:ascii="Arial" w:hAnsi="Arial" w:cs="Arial"/>
          <w:sz w:val="23"/>
          <w:szCs w:val="23"/>
          <w:lang w:val="fr-FR"/>
        </w:rPr>
        <w:t xml:space="preserve"> la Politique Energétique Commune (PEC), dont les objectifs sont</w:t>
      </w:r>
      <w:r>
        <w:rPr>
          <w:rFonts w:ascii="Arial" w:hAnsi="Arial" w:cs="Arial"/>
          <w:sz w:val="23"/>
          <w:szCs w:val="23"/>
          <w:lang w:val="fr-FR"/>
        </w:rPr>
        <w:t xml:space="preserve"> entre autres</w:t>
      </w:r>
      <w:r w:rsidRPr="0092641F">
        <w:rPr>
          <w:rFonts w:ascii="Arial" w:hAnsi="Arial" w:cs="Arial"/>
          <w:sz w:val="23"/>
          <w:szCs w:val="23"/>
          <w:lang w:val="fr-FR"/>
        </w:rPr>
        <w:t xml:space="preserve"> de</w:t>
      </w:r>
      <w:r>
        <w:rPr>
          <w:rFonts w:ascii="Arial" w:hAnsi="Arial" w:cs="Arial"/>
          <w:sz w:val="23"/>
          <w:szCs w:val="23"/>
          <w:lang w:val="fr-FR"/>
        </w:rPr>
        <w:t> </w:t>
      </w:r>
      <w:r w:rsidRPr="0092641F">
        <w:rPr>
          <w:rFonts w:ascii="Arial" w:hAnsi="Arial" w:cs="Arial"/>
          <w:sz w:val="23"/>
          <w:szCs w:val="23"/>
          <w:lang w:val="fr-FR"/>
        </w:rPr>
        <w:t>: i) garantir la sécurité de l'approvisionnement énergétique de l'Union ; ii) développer et assurer la gestion optimale des ressources énergétiques en interconnectant systématiquement les réseaux électriques et en construisant des installations communautaires</w:t>
      </w:r>
      <w:r>
        <w:rPr>
          <w:rFonts w:ascii="Arial" w:hAnsi="Arial" w:cs="Arial"/>
          <w:sz w:val="23"/>
          <w:szCs w:val="23"/>
          <w:lang w:val="fr-FR"/>
        </w:rPr>
        <w:t> </w:t>
      </w:r>
      <w:r w:rsidRPr="0092641F">
        <w:rPr>
          <w:rFonts w:ascii="Arial" w:hAnsi="Arial" w:cs="Arial"/>
          <w:sz w:val="23"/>
          <w:szCs w:val="23"/>
          <w:lang w:val="fr-FR"/>
        </w:rPr>
        <w:t>; iii) promouvoir les énergies renouvelables</w:t>
      </w:r>
      <w:r>
        <w:rPr>
          <w:rFonts w:ascii="Arial" w:hAnsi="Arial" w:cs="Arial"/>
          <w:sz w:val="23"/>
          <w:szCs w:val="23"/>
          <w:lang w:val="fr-FR"/>
        </w:rPr>
        <w:t xml:space="preserve"> et </w:t>
      </w:r>
      <w:r w:rsidRPr="0092641F">
        <w:rPr>
          <w:rFonts w:ascii="Arial" w:hAnsi="Arial" w:cs="Arial"/>
          <w:sz w:val="23"/>
          <w:szCs w:val="23"/>
          <w:lang w:val="fr-FR"/>
        </w:rPr>
        <w:t>l'efficacité énergétique</w:t>
      </w:r>
      <w:r>
        <w:rPr>
          <w:rFonts w:ascii="Arial" w:hAnsi="Arial" w:cs="Arial"/>
          <w:sz w:val="23"/>
          <w:szCs w:val="23"/>
          <w:lang w:val="fr-FR"/>
        </w:rPr>
        <w:t> </w:t>
      </w:r>
      <w:r w:rsidRPr="0092641F">
        <w:rPr>
          <w:rFonts w:ascii="Arial" w:hAnsi="Arial" w:cs="Arial"/>
          <w:sz w:val="23"/>
          <w:szCs w:val="23"/>
          <w:lang w:val="fr-FR"/>
        </w:rPr>
        <w:t xml:space="preserve">; </w:t>
      </w:r>
      <w:r>
        <w:rPr>
          <w:rFonts w:ascii="Arial" w:hAnsi="Arial" w:cs="Arial"/>
          <w:sz w:val="23"/>
          <w:szCs w:val="23"/>
          <w:lang w:val="fr-FR"/>
        </w:rPr>
        <w:t>i</w:t>
      </w:r>
      <w:r w:rsidRPr="0092641F">
        <w:rPr>
          <w:rFonts w:ascii="Arial" w:hAnsi="Arial" w:cs="Arial"/>
          <w:sz w:val="23"/>
          <w:szCs w:val="23"/>
          <w:lang w:val="fr-FR"/>
        </w:rPr>
        <w:t xml:space="preserve">v) développer et améliorer l'accès des populations rurales de l'Union aux services énergétiques ; v) contribuer à préserver l'environnement. </w:t>
      </w:r>
    </w:p>
    <w:p w14:paraId="158005B7" w14:textId="77777777" w:rsidR="009116A6" w:rsidRPr="0092641F" w:rsidRDefault="009116A6" w:rsidP="009116A6">
      <w:pPr>
        <w:jc w:val="both"/>
        <w:rPr>
          <w:rFonts w:ascii="Arial" w:hAnsi="Arial" w:cs="Arial"/>
          <w:sz w:val="23"/>
          <w:szCs w:val="23"/>
          <w:lang w:val="fr-FR"/>
        </w:rPr>
      </w:pPr>
      <w:r w:rsidRPr="0092641F">
        <w:rPr>
          <w:rFonts w:ascii="Arial" w:hAnsi="Arial" w:cs="Arial"/>
          <w:sz w:val="23"/>
          <w:szCs w:val="23"/>
          <w:lang w:val="fr-FR"/>
        </w:rPr>
        <w:t xml:space="preserve">La mise en œuvre de la PEC tient nécessairement compte de ses interactions avec les autres politiques communes adoptées au niveau de l'UEMOA, </w:t>
      </w:r>
      <w:r>
        <w:rPr>
          <w:rFonts w:ascii="Arial" w:hAnsi="Arial" w:cs="Arial"/>
          <w:sz w:val="23"/>
          <w:szCs w:val="23"/>
          <w:lang w:val="fr-FR"/>
        </w:rPr>
        <w:t>notamment</w:t>
      </w:r>
      <w:r w:rsidRPr="0092641F">
        <w:rPr>
          <w:rFonts w:ascii="Arial" w:hAnsi="Arial" w:cs="Arial"/>
          <w:sz w:val="23"/>
          <w:szCs w:val="23"/>
          <w:lang w:val="fr-FR"/>
        </w:rPr>
        <w:t>, la politique agricole de l'Union (PAU), la politique commune d'amélioration de l'environnement (PCAE) et la politique industrielle commune (PIC).</w:t>
      </w:r>
    </w:p>
    <w:p w14:paraId="6B680436" w14:textId="77777777" w:rsidR="009116A6" w:rsidRPr="0092641F" w:rsidRDefault="009116A6" w:rsidP="009116A6">
      <w:pPr>
        <w:jc w:val="both"/>
        <w:rPr>
          <w:rFonts w:ascii="Arial" w:hAnsi="Arial" w:cs="Arial"/>
          <w:sz w:val="23"/>
          <w:szCs w:val="23"/>
          <w:lang w:val="fr-FR"/>
        </w:rPr>
      </w:pPr>
    </w:p>
    <w:p w14:paraId="10767771" w14:textId="77777777" w:rsidR="009116A6" w:rsidRDefault="00640AFB" w:rsidP="00FF4137">
      <w:pPr>
        <w:jc w:val="both"/>
        <w:rPr>
          <w:rFonts w:ascii="Arial" w:hAnsi="Arial" w:cs="Arial"/>
          <w:sz w:val="23"/>
          <w:szCs w:val="23"/>
          <w:lang w:val="fr-FR"/>
        </w:rPr>
      </w:pPr>
      <w:r>
        <w:rPr>
          <w:rFonts w:ascii="Arial" w:hAnsi="Arial" w:cs="Arial"/>
          <w:sz w:val="23"/>
          <w:szCs w:val="23"/>
          <w:lang w:val="fr-FR"/>
        </w:rPr>
        <w:t>S’agissant de l</w:t>
      </w:r>
      <w:r w:rsidRPr="0092641F">
        <w:rPr>
          <w:rFonts w:ascii="Arial" w:hAnsi="Arial" w:cs="Arial"/>
          <w:sz w:val="23"/>
          <w:szCs w:val="23"/>
          <w:lang w:val="fr-FR"/>
        </w:rPr>
        <w:t xml:space="preserve">a PAU, </w:t>
      </w:r>
      <w:r>
        <w:rPr>
          <w:rFonts w:ascii="Arial" w:hAnsi="Arial" w:cs="Arial"/>
          <w:sz w:val="23"/>
          <w:szCs w:val="23"/>
          <w:lang w:val="fr-FR"/>
        </w:rPr>
        <w:t xml:space="preserve">elle a été </w:t>
      </w:r>
      <w:r w:rsidRPr="0092641F">
        <w:rPr>
          <w:rFonts w:ascii="Arial" w:hAnsi="Arial" w:cs="Arial"/>
          <w:sz w:val="23"/>
          <w:szCs w:val="23"/>
          <w:lang w:val="fr-FR"/>
        </w:rPr>
        <w:t>adoptée en décembre 2001</w:t>
      </w:r>
      <w:r>
        <w:rPr>
          <w:rFonts w:ascii="Arial" w:hAnsi="Arial" w:cs="Arial"/>
          <w:sz w:val="23"/>
          <w:szCs w:val="23"/>
          <w:lang w:val="fr-FR"/>
        </w:rPr>
        <w:t xml:space="preserve"> pour</w:t>
      </w:r>
      <w:r w:rsidRPr="0092641F">
        <w:rPr>
          <w:rFonts w:ascii="Arial" w:hAnsi="Arial" w:cs="Arial"/>
          <w:sz w:val="23"/>
          <w:szCs w:val="23"/>
          <w:lang w:val="fr-FR"/>
        </w:rPr>
        <w:t xml:space="preserve"> contribu</w:t>
      </w:r>
      <w:r>
        <w:rPr>
          <w:rFonts w:ascii="Arial" w:hAnsi="Arial" w:cs="Arial"/>
          <w:sz w:val="23"/>
          <w:szCs w:val="23"/>
          <w:lang w:val="fr-FR"/>
        </w:rPr>
        <w:t>er</w:t>
      </w:r>
      <w:r w:rsidRPr="0092641F">
        <w:rPr>
          <w:rFonts w:ascii="Arial" w:hAnsi="Arial" w:cs="Arial"/>
          <w:sz w:val="23"/>
          <w:szCs w:val="23"/>
          <w:lang w:val="fr-FR"/>
        </w:rPr>
        <w:t xml:space="preserve"> durable</w:t>
      </w:r>
      <w:r>
        <w:rPr>
          <w:rFonts w:ascii="Arial" w:hAnsi="Arial" w:cs="Arial"/>
          <w:sz w:val="23"/>
          <w:szCs w:val="23"/>
          <w:lang w:val="fr-FR"/>
        </w:rPr>
        <w:t>ment</w:t>
      </w:r>
      <w:r w:rsidRPr="0092641F">
        <w:rPr>
          <w:rFonts w:ascii="Arial" w:hAnsi="Arial" w:cs="Arial"/>
          <w:sz w:val="23"/>
          <w:szCs w:val="23"/>
          <w:lang w:val="fr-FR"/>
        </w:rPr>
        <w:t xml:space="preserve"> à la satisfaction des besoins alimentaires de la population, au développement économique et social des Etats membres et à la réduction de la pauvreté. A cette fin, elle vise à assurer la sécurité alimentaire en réduisant la dépendance alimentaire et en améliorant le fonctionnement des marchés des produits de base agricoles ainsi que les conditions de vie des producteurs agricoles en développant l'économie rurale et en améliorant leurs revenus et leur statut social.</w:t>
      </w:r>
    </w:p>
    <w:p w14:paraId="2BD0EC37" w14:textId="77777777" w:rsidR="00640AFB" w:rsidRDefault="00640AFB" w:rsidP="00FF4137">
      <w:pPr>
        <w:jc w:val="both"/>
        <w:rPr>
          <w:rFonts w:ascii="Arial" w:hAnsi="Arial" w:cs="Arial"/>
          <w:sz w:val="23"/>
          <w:szCs w:val="23"/>
          <w:lang w:val="fr-FR"/>
        </w:rPr>
      </w:pPr>
      <w:r>
        <w:rPr>
          <w:rFonts w:ascii="Arial" w:hAnsi="Arial" w:cs="Arial"/>
          <w:sz w:val="23"/>
          <w:szCs w:val="23"/>
          <w:lang w:val="fr-FR"/>
        </w:rPr>
        <w:t xml:space="preserve">La politique Commune d’Amélioration de l’Environnement a été adoptée e Janvier 2008 et a pour objectifs de 1) réduire les risques environnementaux ; et 2) préserver la biodiversité. </w:t>
      </w:r>
    </w:p>
    <w:p w14:paraId="0902BC5F" w14:textId="77777777" w:rsidR="00640AFB" w:rsidRPr="0092641F" w:rsidRDefault="00640AFB" w:rsidP="00640AFB">
      <w:pPr>
        <w:jc w:val="both"/>
        <w:rPr>
          <w:rFonts w:ascii="Arial" w:hAnsi="Arial" w:cs="Arial"/>
          <w:sz w:val="23"/>
          <w:szCs w:val="23"/>
          <w:lang w:val="fr-FR"/>
        </w:rPr>
      </w:pPr>
      <w:r w:rsidRPr="0092641F">
        <w:rPr>
          <w:rFonts w:ascii="Arial" w:hAnsi="Arial" w:cs="Arial"/>
          <w:sz w:val="23"/>
          <w:szCs w:val="23"/>
          <w:lang w:val="fr-FR"/>
        </w:rPr>
        <w:lastRenderedPageBreak/>
        <w:t>Pour atteindre ces objectifs, la PCAE est mis</w:t>
      </w:r>
      <w:r>
        <w:rPr>
          <w:rFonts w:ascii="Arial" w:hAnsi="Arial" w:cs="Arial"/>
          <w:sz w:val="23"/>
          <w:szCs w:val="23"/>
          <w:lang w:val="fr-FR"/>
        </w:rPr>
        <w:t>e</w:t>
      </w:r>
      <w:r w:rsidRPr="0092641F">
        <w:rPr>
          <w:rFonts w:ascii="Arial" w:hAnsi="Arial" w:cs="Arial"/>
          <w:sz w:val="23"/>
          <w:szCs w:val="23"/>
          <w:lang w:val="fr-FR"/>
        </w:rPr>
        <w:t xml:space="preserve"> en œuvre selon quatre axes stratégiques, dont la "</w:t>
      </w:r>
      <w:r>
        <w:rPr>
          <w:rFonts w:ascii="Arial" w:hAnsi="Arial" w:cs="Arial"/>
          <w:sz w:val="23"/>
          <w:szCs w:val="23"/>
          <w:lang w:val="fr-FR"/>
        </w:rPr>
        <w:t> </w:t>
      </w:r>
      <w:r w:rsidRPr="0092641F">
        <w:rPr>
          <w:rFonts w:ascii="Arial" w:hAnsi="Arial" w:cs="Arial"/>
          <w:sz w:val="23"/>
          <w:szCs w:val="23"/>
          <w:lang w:val="fr-FR"/>
        </w:rPr>
        <w:t>contribution à la gestion durable des ressources naturelles pour la réduction de la pauvreté et de l'insécurité alimentaire</w:t>
      </w:r>
      <w:r>
        <w:rPr>
          <w:rFonts w:ascii="Arial" w:hAnsi="Arial" w:cs="Arial"/>
          <w:sz w:val="23"/>
          <w:szCs w:val="23"/>
          <w:lang w:val="fr-FR"/>
        </w:rPr>
        <w:t> </w:t>
      </w:r>
      <w:r w:rsidRPr="0092641F">
        <w:rPr>
          <w:rFonts w:ascii="Arial" w:hAnsi="Arial" w:cs="Arial"/>
          <w:sz w:val="23"/>
          <w:szCs w:val="23"/>
          <w:lang w:val="fr-FR"/>
        </w:rPr>
        <w:t>". A cette fin, la PCAE s'inscrit dans un ensemble cohérent avec les autres politiques communes et sectorielles de l'Union.</w:t>
      </w:r>
    </w:p>
    <w:p w14:paraId="49013971" w14:textId="77777777" w:rsidR="00FF4137" w:rsidRPr="0092641F" w:rsidRDefault="00FF4137" w:rsidP="00FF4137">
      <w:pPr>
        <w:jc w:val="both"/>
        <w:rPr>
          <w:rFonts w:ascii="Arial" w:hAnsi="Arial" w:cs="Arial"/>
          <w:sz w:val="23"/>
          <w:szCs w:val="23"/>
          <w:lang w:val="fr-FR"/>
        </w:rPr>
      </w:pPr>
      <w:r w:rsidRPr="0092641F">
        <w:rPr>
          <w:rFonts w:ascii="Arial" w:hAnsi="Arial" w:cs="Arial"/>
          <w:sz w:val="23"/>
          <w:szCs w:val="23"/>
          <w:lang w:val="fr-FR"/>
        </w:rPr>
        <w:t>Quant à la Politique industrielle commune (PIC) de l'UEMOA, elle vise notamment (i) l'émergence d'entreprises performantes, y compris les entreprises communautaires, capables de satisfaire la demande intérieure dans des conditions compétitives, de faire face à la concurrence internationale et de promouvoir le progrès social</w:t>
      </w:r>
      <w:r>
        <w:rPr>
          <w:rFonts w:ascii="Arial" w:hAnsi="Arial" w:cs="Arial"/>
          <w:sz w:val="23"/>
          <w:szCs w:val="23"/>
          <w:lang w:val="fr-FR"/>
        </w:rPr>
        <w:t> </w:t>
      </w:r>
      <w:r w:rsidRPr="0092641F">
        <w:rPr>
          <w:rFonts w:ascii="Arial" w:hAnsi="Arial" w:cs="Arial"/>
          <w:sz w:val="23"/>
          <w:szCs w:val="23"/>
          <w:lang w:val="fr-FR"/>
        </w:rPr>
        <w:t xml:space="preserve">; (ii) le développement des ressources agricoles, pastorales, </w:t>
      </w:r>
      <w:r>
        <w:rPr>
          <w:rFonts w:ascii="Arial" w:hAnsi="Arial" w:cs="Arial"/>
          <w:sz w:val="23"/>
          <w:szCs w:val="23"/>
          <w:lang w:val="fr-FR"/>
        </w:rPr>
        <w:t>halieutiques</w:t>
      </w:r>
      <w:r w:rsidRPr="0092641F">
        <w:rPr>
          <w:rFonts w:ascii="Arial" w:hAnsi="Arial" w:cs="Arial"/>
          <w:sz w:val="23"/>
          <w:szCs w:val="23"/>
          <w:lang w:val="fr-FR"/>
        </w:rPr>
        <w:t xml:space="preserve"> et minières des Etats et de l'Union</w:t>
      </w:r>
      <w:r>
        <w:rPr>
          <w:rFonts w:ascii="Arial" w:hAnsi="Arial" w:cs="Arial"/>
          <w:sz w:val="23"/>
          <w:szCs w:val="23"/>
          <w:lang w:val="fr-FR"/>
        </w:rPr>
        <w:t> </w:t>
      </w:r>
      <w:r w:rsidRPr="0092641F">
        <w:rPr>
          <w:rFonts w:ascii="Arial" w:hAnsi="Arial" w:cs="Arial"/>
          <w:sz w:val="23"/>
          <w:szCs w:val="23"/>
          <w:lang w:val="fr-FR"/>
        </w:rPr>
        <w:t>; (iii) l'intensification des échanges commerciaux entre secteurs</w:t>
      </w:r>
      <w:r>
        <w:rPr>
          <w:rFonts w:ascii="Arial" w:hAnsi="Arial" w:cs="Arial"/>
          <w:sz w:val="23"/>
          <w:szCs w:val="23"/>
          <w:lang w:val="fr-FR"/>
        </w:rPr>
        <w:t> </w:t>
      </w:r>
      <w:r w:rsidRPr="0092641F">
        <w:rPr>
          <w:rFonts w:ascii="Arial" w:hAnsi="Arial" w:cs="Arial"/>
          <w:sz w:val="23"/>
          <w:szCs w:val="23"/>
          <w:lang w:val="fr-FR"/>
        </w:rPr>
        <w:t>; (iv) le développement économique équilibré des différentes régions de l'Union</w:t>
      </w:r>
      <w:r>
        <w:rPr>
          <w:rFonts w:ascii="Arial" w:hAnsi="Arial" w:cs="Arial"/>
          <w:sz w:val="23"/>
          <w:szCs w:val="23"/>
          <w:lang w:val="fr-FR"/>
        </w:rPr>
        <w:t> </w:t>
      </w:r>
      <w:r w:rsidRPr="0092641F">
        <w:rPr>
          <w:rFonts w:ascii="Arial" w:hAnsi="Arial" w:cs="Arial"/>
          <w:sz w:val="23"/>
          <w:szCs w:val="23"/>
          <w:lang w:val="fr-FR"/>
        </w:rPr>
        <w:t>; (v) la diversification et l'intensification du tissu industriel de l'Union.</w:t>
      </w:r>
    </w:p>
    <w:p w14:paraId="4F056EFA" w14:textId="77777777" w:rsidR="00D45F7B" w:rsidRPr="0092641F" w:rsidRDefault="00D45F7B" w:rsidP="00D45F7B">
      <w:pPr>
        <w:jc w:val="both"/>
        <w:rPr>
          <w:rFonts w:ascii="Arial" w:hAnsi="Arial" w:cs="Arial"/>
          <w:sz w:val="23"/>
          <w:szCs w:val="23"/>
          <w:lang w:val="fr-FR"/>
        </w:rPr>
      </w:pPr>
      <w:r w:rsidRPr="0092641F">
        <w:rPr>
          <w:rFonts w:ascii="Arial" w:hAnsi="Arial" w:cs="Arial"/>
          <w:sz w:val="23"/>
          <w:szCs w:val="23"/>
          <w:lang w:val="fr-FR"/>
        </w:rPr>
        <w:t>Adopté en décembre 1999, la PIC constitue le cadre de référence pour la formulation de stratégies opérationnelles de diversification et d'intégration du tissu industriel de l'Union dans l'économie mondiale. C'est pourquoi, pour le développement durable de la région UEMOA, elle vise à répondre à quatre défis structurels du tissu industriel</w:t>
      </w:r>
      <w:r>
        <w:rPr>
          <w:rFonts w:ascii="Arial" w:hAnsi="Arial" w:cs="Arial"/>
          <w:sz w:val="23"/>
          <w:szCs w:val="23"/>
          <w:lang w:val="fr-FR"/>
        </w:rPr>
        <w:t> </w:t>
      </w:r>
      <w:r w:rsidRPr="0092641F">
        <w:rPr>
          <w:rFonts w:ascii="Arial" w:hAnsi="Arial" w:cs="Arial"/>
          <w:sz w:val="23"/>
          <w:szCs w:val="23"/>
          <w:lang w:val="fr-FR"/>
        </w:rPr>
        <w:t>: diversification, densification, compétitivité et rationalisation.</w:t>
      </w:r>
    </w:p>
    <w:p w14:paraId="1E7F5F3D" w14:textId="592A1EFE" w:rsidR="00D45F7B" w:rsidRPr="0092641F" w:rsidRDefault="00D45F7B" w:rsidP="00D45F7B">
      <w:pPr>
        <w:jc w:val="both"/>
        <w:rPr>
          <w:rFonts w:ascii="Arial" w:hAnsi="Arial" w:cs="Arial"/>
          <w:sz w:val="23"/>
          <w:szCs w:val="23"/>
          <w:lang w:val="fr-FR"/>
        </w:rPr>
      </w:pPr>
      <w:r w:rsidRPr="0092641F">
        <w:rPr>
          <w:rFonts w:ascii="Arial" w:hAnsi="Arial" w:cs="Arial"/>
          <w:sz w:val="23"/>
          <w:szCs w:val="23"/>
          <w:lang w:val="fr-FR"/>
        </w:rPr>
        <w:t xml:space="preserve">La croissance économique de ces dernières années a accru la demande en énergie de la sous-région, tant dans le secteur industriel que dans les zones rurales. La fourniture de services énergétiques est un élément essentiel du progrès de l'agriculture et de l'agro-industrie et constitue la base d'une croissance et d'un développement socioéconomiques larges et inclusifs. Cependant, les exigences en termes de production et d'accès, de coût, de sécurité et de fiabilité sont </w:t>
      </w:r>
      <w:r w:rsidR="00CD32EA">
        <w:rPr>
          <w:rFonts w:ascii="Arial" w:hAnsi="Arial" w:cs="Arial"/>
          <w:sz w:val="23"/>
          <w:szCs w:val="23"/>
          <w:lang w:val="fr-FR"/>
        </w:rPr>
        <w:t>également devenues plus contraignantes</w:t>
      </w:r>
      <w:r w:rsidRPr="0092641F">
        <w:rPr>
          <w:rFonts w:ascii="Arial" w:hAnsi="Arial" w:cs="Arial"/>
          <w:sz w:val="23"/>
          <w:szCs w:val="23"/>
          <w:lang w:val="fr-FR"/>
        </w:rPr>
        <w:t xml:space="preserve">. </w:t>
      </w:r>
    </w:p>
    <w:p w14:paraId="177568A6" w14:textId="77777777" w:rsidR="00D45F7B" w:rsidRPr="0092641F" w:rsidRDefault="00D45F7B" w:rsidP="00D45F7B">
      <w:pPr>
        <w:jc w:val="both"/>
        <w:rPr>
          <w:rFonts w:ascii="Arial" w:hAnsi="Arial" w:cs="Arial"/>
          <w:sz w:val="23"/>
          <w:szCs w:val="23"/>
          <w:lang w:val="fr-FR"/>
        </w:rPr>
      </w:pPr>
      <w:r w:rsidRPr="0092641F">
        <w:rPr>
          <w:rFonts w:ascii="Arial" w:hAnsi="Arial" w:cs="Arial"/>
          <w:sz w:val="23"/>
          <w:szCs w:val="23"/>
          <w:lang w:val="fr-FR"/>
        </w:rPr>
        <w:t>Les défis suivants sont notés</w:t>
      </w:r>
      <w:r>
        <w:rPr>
          <w:rFonts w:ascii="Arial" w:hAnsi="Arial" w:cs="Arial"/>
          <w:sz w:val="23"/>
          <w:szCs w:val="23"/>
          <w:lang w:val="fr-FR"/>
        </w:rPr>
        <w:t> </w:t>
      </w:r>
      <w:r w:rsidRPr="0092641F">
        <w:rPr>
          <w:rFonts w:ascii="Arial" w:hAnsi="Arial" w:cs="Arial"/>
          <w:sz w:val="23"/>
          <w:szCs w:val="23"/>
          <w:lang w:val="fr-FR"/>
        </w:rPr>
        <w:t>:</w:t>
      </w:r>
    </w:p>
    <w:p w14:paraId="0E3C78B5" w14:textId="3FF3CB3E" w:rsidR="00D45F7B" w:rsidRPr="0031453E" w:rsidRDefault="00D45F7B" w:rsidP="00D45F7B">
      <w:pPr>
        <w:pStyle w:val="ListParagraph"/>
        <w:numPr>
          <w:ilvl w:val="0"/>
          <w:numId w:val="1"/>
        </w:numPr>
        <w:jc w:val="both"/>
        <w:rPr>
          <w:rFonts w:ascii="Arial" w:hAnsi="Arial" w:cs="Arial"/>
          <w:sz w:val="23"/>
          <w:szCs w:val="23"/>
          <w:lang w:val="fr-FR"/>
        </w:rPr>
      </w:pPr>
      <w:r>
        <w:rPr>
          <w:rFonts w:ascii="Arial" w:hAnsi="Arial" w:cs="Arial"/>
          <w:sz w:val="23"/>
          <w:szCs w:val="23"/>
          <w:lang w:val="fr-FR"/>
        </w:rPr>
        <w:t>quarante-trois pour cent (</w:t>
      </w:r>
      <w:r w:rsidRPr="0031453E">
        <w:rPr>
          <w:rFonts w:ascii="Arial" w:hAnsi="Arial" w:cs="Arial"/>
          <w:sz w:val="23"/>
          <w:szCs w:val="23"/>
          <w:lang w:val="fr-FR"/>
        </w:rPr>
        <w:t>43</w:t>
      </w:r>
      <w:r>
        <w:rPr>
          <w:rFonts w:ascii="Arial" w:hAnsi="Arial" w:cs="Arial"/>
          <w:sz w:val="23"/>
          <w:szCs w:val="23"/>
          <w:lang w:val="fr-FR"/>
        </w:rPr>
        <w:t> </w:t>
      </w:r>
      <w:r w:rsidRPr="0031453E">
        <w:rPr>
          <w:rFonts w:ascii="Arial" w:hAnsi="Arial" w:cs="Arial"/>
          <w:sz w:val="23"/>
          <w:szCs w:val="23"/>
          <w:lang w:val="fr-FR"/>
        </w:rPr>
        <w:t>%</w:t>
      </w:r>
      <w:r>
        <w:rPr>
          <w:rFonts w:ascii="Arial" w:hAnsi="Arial" w:cs="Arial"/>
          <w:sz w:val="23"/>
          <w:szCs w:val="23"/>
          <w:lang w:val="fr-FR"/>
        </w:rPr>
        <w:t>)</w:t>
      </w:r>
      <w:r w:rsidRPr="0031453E">
        <w:rPr>
          <w:rFonts w:ascii="Arial" w:hAnsi="Arial" w:cs="Arial"/>
          <w:sz w:val="23"/>
          <w:szCs w:val="23"/>
          <w:lang w:val="fr-FR"/>
        </w:rPr>
        <w:t xml:space="preserve"> de la population africaine n'a pas accès à l'électricité et ce pourcentage atteint 80</w:t>
      </w:r>
      <w:r>
        <w:rPr>
          <w:rFonts w:ascii="Arial" w:hAnsi="Arial" w:cs="Arial"/>
          <w:sz w:val="23"/>
          <w:szCs w:val="23"/>
          <w:lang w:val="fr-FR"/>
        </w:rPr>
        <w:t> </w:t>
      </w:r>
      <w:r w:rsidRPr="0031453E">
        <w:rPr>
          <w:rFonts w:ascii="Arial" w:hAnsi="Arial" w:cs="Arial"/>
          <w:sz w:val="23"/>
          <w:szCs w:val="23"/>
          <w:lang w:val="fr-FR"/>
        </w:rPr>
        <w:t xml:space="preserve">% dans les zones rurales. Cela a des conséquences importantes pour le développement rural, la croissance urbaine et la stabilité sociale. Selon le </w:t>
      </w:r>
      <w:r>
        <w:rPr>
          <w:rFonts w:ascii="Arial" w:hAnsi="Arial" w:cs="Arial"/>
          <w:sz w:val="23"/>
          <w:szCs w:val="23"/>
          <w:lang w:val="fr-FR"/>
        </w:rPr>
        <w:t xml:space="preserve">Hub </w:t>
      </w:r>
      <w:r w:rsidRPr="0031453E">
        <w:rPr>
          <w:rFonts w:ascii="Arial" w:hAnsi="Arial" w:cs="Arial"/>
          <w:sz w:val="23"/>
          <w:szCs w:val="23"/>
          <w:lang w:val="fr-FR"/>
        </w:rPr>
        <w:t xml:space="preserve">Rural, </w:t>
      </w:r>
      <w:r w:rsidRPr="00CE036C">
        <w:rPr>
          <w:rFonts w:ascii="Arial" w:hAnsi="Arial" w:cs="Arial"/>
          <w:sz w:val="23"/>
          <w:szCs w:val="23"/>
          <w:lang w:val="fr-FR"/>
        </w:rPr>
        <w:t>chaque année,</w:t>
      </w:r>
      <w:r>
        <w:rPr>
          <w:rFonts w:ascii="Arial" w:hAnsi="Arial" w:cs="Arial"/>
          <w:sz w:val="23"/>
          <w:szCs w:val="23"/>
          <w:lang w:val="fr-FR"/>
        </w:rPr>
        <w:t xml:space="preserve"> </w:t>
      </w:r>
      <w:r w:rsidRPr="0031453E">
        <w:rPr>
          <w:rFonts w:ascii="Arial" w:hAnsi="Arial" w:cs="Arial"/>
          <w:sz w:val="23"/>
          <w:szCs w:val="23"/>
          <w:lang w:val="fr-FR"/>
        </w:rPr>
        <w:t>plus de 200 000 jeunes quittent la campagne pour les grandes villes de l'UEMOA à la recherche d'un emploi ;</w:t>
      </w:r>
    </w:p>
    <w:p w14:paraId="40EF6769" w14:textId="77777777" w:rsidR="00D45F7B" w:rsidRPr="0031453E" w:rsidRDefault="00D45F7B" w:rsidP="00D45F7B">
      <w:pPr>
        <w:pStyle w:val="ListParagraph"/>
        <w:numPr>
          <w:ilvl w:val="0"/>
          <w:numId w:val="1"/>
        </w:numPr>
        <w:jc w:val="both"/>
        <w:rPr>
          <w:rFonts w:ascii="Arial" w:hAnsi="Arial" w:cs="Arial"/>
          <w:sz w:val="23"/>
          <w:szCs w:val="23"/>
          <w:lang w:val="fr-FR"/>
        </w:rPr>
      </w:pPr>
      <w:r w:rsidRPr="0031453E">
        <w:rPr>
          <w:rFonts w:ascii="Arial" w:hAnsi="Arial" w:cs="Arial"/>
          <w:sz w:val="23"/>
          <w:szCs w:val="23"/>
          <w:lang w:val="fr-FR"/>
        </w:rPr>
        <w:t>la prépondérance de la biomasse traditionnelle dans le bilan énergétique (plus de 80</w:t>
      </w:r>
      <w:r>
        <w:rPr>
          <w:rFonts w:ascii="Arial" w:hAnsi="Arial" w:cs="Arial"/>
          <w:sz w:val="23"/>
          <w:szCs w:val="23"/>
          <w:lang w:val="fr-FR"/>
        </w:rPr>
        <w:t> </w:t>
      </w:r>
      <w:r w:rsidRPr="0031453E">
        <w:rPr>
          <w:rFonts w:ascii="Arial" w:hAnsi="Arial" w:cs="Arial"/>
          <w:sz w:val="23"/>
          <w:szCs w:val="23"/>
          <w:lang w:val="fr-FR"/>
        </w:rPr>
        <w:t>% de la consommation) repose sur la surexploitation des forêts naturelles, contribuant ainsi à l'établissement d'un profond déséquilibre écologique malgré les efforts de reboisement et les différents programmes de gestion forestière développés par les États membres</w:t>
      </w:r>
      <w:r>
        <w:rPr>
          <w:rFonts w:ascii="Arial" w:hAnsi="Arial" w:cs="Arial"/>
          <w:sz w:val="23"/>
          <w:szCs w:val="23"/>
          <w:lang w:val="fr-FR"/>
        </w:rPr>
        <w:t> </w:t>
      </w:r>
      <w:r w:rsidRPr="0031453E">
        <w:rPr>
          <w:rFonts w:ascii="Arial" w:hAnsi="Arial" w:cs="Arial"/>
          <w:sz w:val="23"/>
          <w:szCs w:val="23"/>
          <w:lang w:val="fr-FR"/>
        </w:rPr>
        <w:t>;</w:t>
      </w:r>
    </w:p>
    <w:p w14:paraId="3B5EEEB4" w14:textId="77777777" w:rsidR="00D45F7B" w:rsidRDefault="00D45F7B" w:rsidP="00D45F7B">
      <w:pPr>
        <w:pStyle w:val="ListParagraph"/>
        <w:ind w:left="360"/>
        <w:jc w:val="both"/>
        <w:rPr>
          <w:rFonts w:ascii="Arial" w:hAnsi="Arial" w:cs="Arial"/>
          <w:sz w:val="23"/>
          <w:szCs w:val="23"/>
          <w:lang w:val="fr-FR"/>
        </w:rPr>
      </w:pPr>
    </w:p>
    <w:p w14:paraId="43F834C6" w14:textId="77777777" w:rsidR="00D45F7B" w:rsidRPr="0031453E" w:rsidRDefault="00D45F7B" w:rsidP="00D45F7B">
      <w:pPr>
        <w:pStyle w:val="ListParagraph"/>
        <w:numPr>
          <w:ilvl w:val="0"/>
          <w:numId w:val="1"/>
        </w:numPr>
        <w:jc w:val="both"/>
        <w:rPr>
          <w:rFonts w:ascii="Arial" w:hAnsi="Arial" w:cs="Arial"/>
          <w:sz w:val="23"/>
          <w:szCs w:val="23"/>
          <w:lang w:val="fr-FR"/>
        </w:rPr>
      </w:pPr>
      <w:r>
        <w:rPr>
          <w:rFonts w:ascii="Arial" w:hAnsi="Arial" w:cs="Arial"/>
          <w:sz w:val="23"/>
          <w:szCs w:val="23"/>
          <w:lang w:val="fr-FR"/>
        </w:rPr>
        <w:t>l</w:t>
      </w:r>
      <w:r w:rsidRPr="0031453E">
        <w:rPr>
          <w:rFonts w:ascii="Arial" w:hAnsi="Arial" w:cs="Arial"/>
          <w:sz w:val="23"/>
          <w:szCs w:val="23"/>
          <w:lang w:val="fr-FR"/>
        </w:rPr>
        <w:t>es femmes, principales utilisatrices de bois de chauffe pour la cuisine, passent trop de temps à le ramasser, négligeant d'autres activités liées à la santé maternelle et infantile ou à la génération de revenus. De plus, les pratiques culinaires traditionnelles entraînent des maladies respiratoires chez les femmes et les enfants</w:t>
      </w:r>
      <w:r>
        <w:rPr>
          <w:rFonts w:ascii="Arial" w:hAnsi="Arial" w:cs="Arial"/>
          <w:sz w:val="23"/>
          <w:szCs w:val="23"/>
          <w:lang w:val="fr-FR"/>
        </w:rPr>
        <w:t> </w:t>
      </w:r>
      <w:r w:rsidRPr="0031453E">
        <w:rPr>
          <w:rFonts w:ascii="Arial" w:hAnsi="Arial" w:cs="Arial"/>
          <w:sz w:val="23"/>
          <w:szCs w:val="23"/>
          <w:lang w:val="fr-FR"/>
        </w:rPr>
        <w:t>;</w:t>
      </w:r>
    </w:p>
    <w:p w14:paraId="240D716A" w14:textId="77777777" w:rsidR="00D45F7B" w:rsidRPr="0031453E" w:rsidRDefault="00D45F7B" w:rsidP="00D45F7B">
      <w:pPr>
        <w:pStyle w:val="ListParagraph"/>
        <w:numPr>
          <w:ilvl w:val="0"/>
          <w:numId w:val="1"/>
        </w:numPr>
        <w:jc w:val="both"/>
        <w:rPr>
          <w:rFonts w:ascii="Arial" w:hAnsi="Arial" w:cs="Arial"/>
          <w:sz w:val="23"/>
          <w:szCs w:val="23"/>
          <w:lang w:val="fr-FR"/>
        </w:rPr>
      </w:pPr>
      <w:r w:rsidRPr="0031453E">
        <w:rPr>
          <w:rFonts w:ascii="Arial" w:hAnsi="Arial" w:cs="Arial"/>
          <w:sz w:val="23"/>
          <w:szCs w:val="23"/>
          <w:lang w:val="fr-FR"/>
        </w:rPr>
        <w:t>l'approvisionnement en hydrocarbures de la plupart des États membres, principalement en produits pétroliers importés, représente une part importante de la consommation énergétique et accentue le déficit de la balance des paiements des États membres. Le niveau des prix des produits pétroliers est considéré comme élevé en raison de contraintes objectives telles que l'absence de rente, la petite taille des systèmes (liée à la taille du marché) limitant les possibilités d'exploitation des économies d'échelle ou l'utilisation de certaines technologies avancées et plus efficaces. Le coût élevé des hydrocarbures est préjudiciable à la croissance et à la compétitivité des industries des États membres. Les produits pétroliers représentent</w:t>
      </w:r>
      <w:r>
        <w:rPr>
          <w:rFonts w:ascii="Arial" w:hAnsi="Arial" w:cs="Arial"/>
          <w:sz w:val="23"/>
          <w:szCs w:val="23"/>
          <w:lang w:val="fr-FR"/>
        </w:rPr>
        <w:t>,</w:t>
      </w:r>
      <w:r w:rsidRPr="0031453E">
        <w:rPr>
          <w:rFonts w:ascii="Arial" w:hAnsi="Arial" w:cs="Arial"/>
          <w:sz w:val="23"/>
          <w:szCs w:val="23"/>
          <w:lang w:val="fr-FR"/>
        </w:rPr>
        <w:t xml:space="preserve"> en moyenne</w:t>
      </w:r>
      <w:r>
        <w:rPr>
          <w:rFonts w:ascii="Arial" w:hAnsi="Arial" w:cs="Arial"/>
          <w:sz w:val="23"/>
          <w:szCs w:val="23"/>
          <w:lang w:val="fr-FR"/>
        </w:rPr>
        <w:t>,</w:t>
      </w:r>
      <w:r w:rsidRPr="0031453E">
        <w:rPr>
          <w:rFonts w:ascii="Arial" w:hAnsi="Arial" w:cs="Arial"/>
          <w:sz w:val="23"/>
          <w:szCs w:val="23"/>
          <w:lang w:val="fr-FR"/>
        </w:rPr>
        <w:t xml:space="preserve"> 20 à 35 % de la consommation intermédiaire</w:t>
      </w:r>
      <w:r>
        <w:rPr>
          <w:rFonts w:ascii="Arial" w:hAnsi="Arial" w:cs="Arial"/>
          <w:sz w:val="23"/>
          <w:szCs w:val="23"/>
          <w:lang w:val="fr-FR"/>
        </w:rPr>
        <w:t> </w:t>
      </w:r>
      <w:r w:rsidRPr="0031453E">
        <w:rPr>
          <w:rFonts w:ascii="Arial" w:hAnsi="Arial" w:cs="Arial"/>
          <w:sz w:val="23"/>
          <w:szCs w:val="23"/>
          <w:lang w:val="fr-FR"/>
        </w:rPr>
        <w:t>; le facteur coût pénalise</w:t>
      </w:r>
      <w:r>
        <w:rPr>
          <w:rFonts w:ascii="Arial" w:hAnsi="Arial" w:cs="Arial"/>
          <w:sz w:val="23"/>
          <w:szCs w:val="23"/>
          <w:lang w:val="fr-FR"/>
        </w:rPr>
        <w:t>,</w:t>
      </w:r>
      <w:r w:rsidRPr="0031453E">
        <w:rPr>
          <w:rFonts w:ascii="Arial" w:hAnsi="Arial" w:cs="Arial"/>
          <w:sz w:val="23"/>
          <w:szCs w:val="23"/>
          <w:lang w:val="fr-FR"/>
        </w:rPr>
        <w:t xml:space="preserve"> en particulier</w:t>
      </w:r>
      <w:r>
        <w:rPr>
          <w:rFonts w:ascii="Arial" w:hAnsi="Arial" w:cs="Arial"/>
          <w:sz w:val="23"/>
          <w:szCs w:val="23"/>
          <w:lang w:val="fr-FR"/>
        </w:rPr>
        <w:t>,</w:t>
      </w:r>
      <w:r w:rsidRPr="0031453E">
        <w:rPr>
          <w:rFonts w:ascii="Arial" w:hAnsi="Arial" w:cs="Arial"/>
          <w:sz w:val="23"/>
          <w:szCs w:val="23"/>
          <w:lang w:val="fr-FR"/>
        </w:rPr>
        <w:t xml:space="preserve"> les communautés rurales, privant plus de 70% de la population de l'Union de l'accès direct aux soins de santé primaires et de l'amélioration des conditions de vie en général. L'électrification </w:t>
      </w:r>
      <w:r w:rsidRPr="0031453E">
        <w:rPr>
          <w:rFonts w:ascii="Arial" w:hAnsi="Arial" w:cs="Arial"/>
          <w:sz w:val="23"/>
          <w:szCs w:val="23"/>
          <w:lang w:val="fr-FR"/>
        </w:rPr>
        <w:lastRenderedPageBreak/>
        <w:t xml:space="preserve">rurale est principalement entravée par le manque de centrales électriques conventionnelles, </w:t>
      </w:r>
      <w:r w:rsidRPr="00CE036C">
        <w:rPr>
          <w:rFonts w:ascii="Arial" w:hAnsi="Arial" w:cs="Arial"/>
          <w:sz w:val="23"/>
          <w:szCs w:val="23"/>
          <w:lang w:val="fr-FR"/>
        </w:rPr>
        <w:t xml:space="preserve">les pertes d’énergie </w:t>
      </w:r>
      <w:r>
        <w:rPr>
          <w:rFonts w:ascii="Arial" w:hAnsi="Arial" w:cs="Arial"/>
          <w:sz w:val="23"/>
          <w:szCs w:val="23"/>
          <w:lang w:val="fr-FR"/>
        </w:rPr>
        <w:t>au niveau des lignes électriques de transport</w:t>
      </w:r>
      <w:r w:rsidRPr="0031453E">
        <w:rPr>
          <w:rFonts w:ascii="Arial" w:hAnsi="Arial" w:cs="Arial"/>
          <w:sz w:val="23"/>
          <w:szCs w:val="23"/>
          <w:lang w:val="fr-FR"/>
        </w:rPr>
        <w:t>, les coûts élevés des infrastructures de transport et de distribution, d'où le besoin de sources d'énergie renouvelables alternatives</w:t>
      </w:r>
      <w:r>
        <w:rPr>
          <w:rFonts w:ascii="Arial" w:hAnsi="Arial" w:cs="Arial"/>
          <w:sz w:val="23"/>
          <w:szCs w:val="23"/>
          <w:lang w:val="fr-FR"/>
        </w:rPr>
        <w:t> </w:t>
      </w:r>
      <w:r w:rsidRPr="0031453E">
        <w:rPr>
          <w:rFonts w:ascii="Arial" w:hAnsi="Arial" w:cs="Arial"/>
          <w:sz w:val="23"/>
          <w:szCs w:val="23"/>
          <w:lang w:val="fr-FR"/>
        </w:rPr>
        <w:t>;</w:t>
      </w:r>
    </w:p>
    <w:p w14:paraId="32C4AF0C" w14:textId="0CEF1FE2" w:rsidR="00A66673" w:rsidRPr="0031453E" w:rsidRDefault="00A66673" w:rsidP="00A66673">
      <w:pPr>
        <w:pStyle w:val="ListParagraph"/>
        <w:numPr>
          <w:ilvl w:val="0"/>
          <w:numId w:val="1"/>
        </w:numPr>
        <w:jc w:val="both"/>
        <w:rPr>
          <w:rFonts w:ascii="Arial" w:hAnsi="Arial" w:cs="Arial"/>
          <w:sz w:val="23"/>
          <w:szCs w:val="23"/>
          <w:lang w:val="fr-FR"/>
        </w:rPr>
      </w:pPr>
      <w:r w:rsidRPr="0031453E">
        <w:rPr>
          <w:rFonts w:ascii="Arial" w:hAnsi="Arial" w:cs="Arial"/>
          <w:sz w:val="23"/>
          <w:szCs w:val="23"/>
          <w:lang w:val="fr-FR"/>
        </w:rPr>
        <w:t xml:space="preserve">au niveau environnemental, des dommages considérables sont causés par la déforestation </w:t>
      </w:r>
      <w:r>
        <w:rPr>
          <w:rFonts w:ascii="Arial" w:hAnsi="Arial" w:cs="Arial"/>
          <w:sz w:val="23"/>
          <w:szCs w:val="23"/>
          <w:lang w:val="fr-FR"/>
        </w:rPr>
        <w:t xml:space="preserve">avec pour corollaire, l’accélération de </w:t>
      </w:r>
      <w:r w:rsidRPr="0031453E">
        <w:rPr>
          <w:rFonts w:ascii="Arial" w:hAnsi="Arial" w:cs="Arial"/>
          <w:sz w:val="23"/>
          <w:szCs w:val="23"/>
          <w:lang w:val="fr-FR"/>
        </w:rPr>
        <w:t xml:space="preserve">l'érosion </w:t>
      </w:r>
      <w:r>
        <w:rPr>
          <w:rFonts w:ascii="Arial" w:hAnsi="Arial" w:cs="Arial"/>
          <w:sz w:val="23"/>
          <w:szCs w:val="23"/>
          <w:lang w:val="fr-FR"/>
        </w:rPr>
        <w:t>des sols,</w:t>
      </w:r>
      <w:r w:rsidRPr="0031453E">
        <w:rPr>
          <w:rFonts w:ascii="Arial" w:hAnsi="Arial" w:cs="Arial"/>
          <w:sz w:val="23"/>
          <w:szCs w:val="23"/>
          <w:lang w:val="fr-FR"/>
        </w:rPr>
        <w:t xml:space="preserve"> la diminution de la productivité des terres, la perte de biodiversité, la dégradation des </w:t>
      </w:r>
      <w:r w:rsidR="00660DA7">
        <w:rPr>
          <w:rFonts w:ascii="Arial" w:hAnsi="Arial" w:cs="Arial"/>
          <w:sz w:val="23"/>
          <w:szCs w:val="23"/>
          <w:lang w:val="fr-FR"/>
        </w:rPr>
        <w:t>sources de captage</w:t>
      </w:r>
      <w:r w:rsidRPr="0031453E">
        <w:rPr>
          <w:rFonts w:ascii="Arial" w:hAnsi="Arial" w:cs="Arial"/>
          <w:sz w:val="23"/>
          <w:szCs w:val="23"/>
          <w:lang w:val="fr-FR"/>
        </w:rPr>
        <w:t xml:space="preserve"> d'eau, ce qui réduit la disponibilité de l'eau dans les plans d'eau, etc. Cela a également entraîné une réduction des possibilités économiques et des moyens d'existence et une vulnérabilité accrue aux chocs pour les populations qui dépendent directement des ressources naturelles pour leur subsistance. Les émissions de gaz à effet de serre (GES), dominées par les combustibles ligneux (bois de feu, charbon de bois), représentent plus de 40% des émissions, selon les différentes communications nationales. </w:t>
      </w:r>
    </w:p>
    <w:p w14:paraId="3E7C3A66" w14:textId="77777777" w:rsidR="00A66673" w:rsidRPr="0092641F" w:rsidRDefault="00A66673" w:rsidP="00A66673">
      <w:pPr>
        <w:jc w:val="both"/>
        <w:rPr>
          <w:rFonts w:ascii="Arial" w:hAnsi="Arial" w:cs="Arial"/>
          <w:sz w:val="23"/>
          <w:szCs w:val="23"/>
          <w:lang w:val="fr-FR"/>
        </w:rPr>
      </w:pPr>
      <w:r w:rsidRPr="0092641F">
        <w:rPr>
          <w:rFonts w:ascii="Arial" w:hAnsi="Arial" w:cs="Arial"/>
          <w:sz w:val="23"/>
          <w:szCs w:val="23"/>
          <w:lang w:val="fr-FR"/>
        </w:rPr>
        <w:t xml:space="preserve">La nécessité d'investir dans la bioénergie moderne sur le continent africain est évidente. Pour plus des deux tiers (2/3) de la population de la région UEMOA, la principale ressource énergétique reste le bois de chauffe. Ainsi, le problème de la déforestation, de la disparition du couvert végétal et enfin de la dégradation des sols, qui à leur tour compromettent la production agricole et l'autosuffisance alimentaire, devient de plus en plus aigu. </w:t>
      </w:r>
    </w:p>
    <w:p w14:paraId="3ED92921" w14:textId="77777777" w:rsidR="0050145F" w:rsidRDefault="00A66673" w:rsidP="0050145F">
      <w:pPr>
        <w:jc w:val="both"/>
        <w:rPr>
          <w:rFonts w:ascii="Arial" w:hAnsi="Arial" w:cs="Arial"/>
          <w:sz w:val="23"/>
          <w:szCs w:val="23"/>
          <w:lang w:val="fr-FR"/>
        </w:rPr>
      </w:pPr>
      <w:r w:rsidRPr="0092641F">
        <w:rPr>
          <w:rFonts w:ascii="Arial" w:hAnsi="Arial" w:cs="Arial"/>
          <w:sz w:val="23"/>
          <w:szCs w:val="23"/>
          <w:lang w:val="fr-FR"/>
        </w:rPr>
        <w:t>Par conséquent, la bioénergie, s</w:t>
      </w:r>
      <w:r>
        <w:rPr>
          <w:rFonts w:ascii="Arial" w:hAnsi="Arial" w:cs="Arial"/>
          <w:sz w:val="23"/>
          <w:szCs w:val="23"/>
          <w:lang w:val="fr-FR"/>
        </w:rPr>
        <w:t>i elle</w:t>
      </w:r>
      <w:r w:rsidRPr="0092641F">
        <w:rPr>
          <w:rFonts w:ascii="Arial" w:hAnsi="Arial" w:cs="Arial"/>
          <w:sz w:val="23"/>
          <w:szCs w:val="23"/>
          <w:lang w:val="fr-FR"/>
        </w:rPr>
        <w:t xml:space="preserve"> est bien géré</w:t>
      </w:r>
      <w:r>
        <w:rPr>
          <w:rFonts w:ascii="Arial" w:hAnsi="Arial" w:cs="Arial"/>
          <w:sz w:val="23"/>
          <w:szCs w:val="23"/>
          <w:lang w:val="fr-FR"/>
        </w:rPr>
        <w:t>e</w:t>
      </w:r>
      <w:r w:rsidRPr="0092641F">
        <w:rPr>
          <w:rFonts w:ascii="Arial" w:hAnsi="Arial" w:cs="Arial"/>
          <w:sz w:val="23"/>
          <w:szCs w:val="23"/>
          <w:lang w:val="fr-FR"/>
        </w:rPr>
        <w:t>, peut contribuer à la solution de ces problèmes en termes de diversification des sources d'énergie. La transformation de la biomasse traditionnelle en bioénergie moderne, principalement pour améliorer l'accès des pop</w:t>
      </w:r>
      <w:r w:rsidR="0050145F">
        <w:rPr>
          <w:rFonts w:ascii="Arial" w:hAnsi="Arial" w:cs="Arial"/>
          <w:sz w:val="23"/>
          <w:szCs w:val="23"/>
          <w:lang w:val="fr-FR"/>
        </w:rPr>
        <w:t xml:space="preserve">ulations rurales à l'énergie, </w:t>
      </w:r>
      <w:r w:rsidR="0050145F" w:rsidRPr="0092641F">
        <w:rPr>
          <w:rFonts w:ascii="Arial" w:hAnsi="Arial" w:cs="Arial"/>
          <w:sz w:val="23"/>
          <w:szCs w:val="23"/>
          <w:lang w:val="fr-FR"/>
        </w:rPr>
        <w:t xml:space="preserve">peut stimuler la productivité agricole et la transformation rurale et remédier à la dégradation de l'environnement.  </w:t>
      </w:r>
    </w:p>
    <w:p w14:paraId="2C0BBB2B" w14:textId="77777777" w:rsidR="0050145F" w:rsidRDefault="0050145F" w:rsidP="0050145F">
      <w:pPr>
        <w:jc w:val="both"/>
        <w:rPr>
          <w:rFonts w:ascii="Arial" w:hAnsi="Arial" w:cs="Arial"/>
          <w:sz w:val="23"/>
          <w:szCs w:val="23"/>
          <w:lang w:val="fr-FR"/>
        </w:rPr>
      </w:pPr>
      <w:r w:rsidRPr="0092641F">
        <w:rPr>
          <w:rFonts w:ascii="Arial" w:hAnsi="Arial" w:cs="Arial"/>
          <w:sz w:val="23"/>
          <w:szCs w:val="23"/>
          <w:lang w:val="fr-FR"/>
        </w:rPr>
        <w:t>Le développement de la bioénergie moderne ne se fera pas sans surmonter certains défis à identifier. Les relever permettra de créer un effet d’entraînement sur la productivité agricole, en augmentant les débouchés des cultures vivrières et à fibres, la disponibilité des pâturages, du bois et des produits forestiers. En retour, l'amélioration de l'accès aux produits et services bioénergétiques modernes peut être une composante du mix</w:t>
      </w:r>
      <w:r>
        <w:rPr>
          <w:rFonts w:ascii="Arial" w:hAnsi="Arial" w:cs="Arial"/>
          <w:sz w:val="23"/>
          <w:szCs w:val="23"/>
          <w:lang w:val="fr-FR"/>
        </w:rPr>
        <w:t xml:space="preserve"> des </w:t>
      </w:r>
      <w:r w:rsidRPr="0092641F">
        <w:rPr>
          <w:rFonts w:ascii="Arial" w:hAnsi="Arial" w:cs="Arial"/>
          <w:sz w:val="23"/>
          <w:szCs w:val="23"/>
          <w:lang w:val="fr-FR"/>
        </w:rPr>
        <w:t>énergies renouvelables qui aura un impact sur l'augmentation de la productivité des secteurs agricole, de l'élevage, forestier et non agricole en milieu</w:t>
      </w:r>
      <w:r>
        <w:rPr>
          <w:rFonts w:ascii="Arial" w:hAnsi="Arial" w:cs="Arial"/>
          <w:sz w:val="23"/>
          <w:szCs w:val="23"/>
          <w:lang w:val="fr-FR"/>
        </w:rPr>
        <w:t>x</w:t>
      </w:r>
      <w:r w:rsidRPr="0092641F">
        <w:rPr>
          <w:rFonts w:ascii="Arial" w:hAnsi="Arial" w:cs="Arial"/>
          <w:sz w:val="23"/>
          <w:szCs w:val="23"/>
          <w:lang w:val="fr-FR"/>
        </w:rPr>
        <w:t xml:space="preserve"> rural et péri-urbain. </w:t>
      </w:r>
    </w:p>
    <w:p w14:paraId="591834D7" w14:textId="77777777" w:rsidR="0050145F" w:rsidRPr="00997513" w:rsidRDefault="0050145F" w:rsidP="0050145F">
      <w:pPr>
        <w:jc w:val="both"/>
        <w:rPr>
          <w:rFonts w:ascii="Arial" w:hAnsi="Arial" w:cs="Arial"/>
          <w:sz w:val="23"/>
          <w:szCs w:val="23"/>
          <w:lang w:val="fr-FR"/>
        </w:rPr>
      </w:pPr>
      <w:r>
        <w:rPr>
          <w:rFonts w:ascii="Arial" w:hAnsi="Arial" w:cs="Arial"/>
          <w:sz w:val="23"/>
          <w:szCs w:val="23"/>
          <w:lang w:val="fr-FR"/>
        </w:rPr>
        <w:t xml:space="preserve">La Commission de l’UEMOA en partenariat avec la Fondation des Nations Unies et le Hub Rural avait déjà élaboré une </w:t>
      </w:r>
      <w:r w:rsidRPr="0092641F">
        <w:rPr>
          <w:rFonts w:ascii="Arial" w:hAnsi="Arial" w:cs="Arial"/>
          <w:sz w:val="23"/>
          <w:szCs w:val="23"/>
          <w:lang w:val="fr-FR"/>
        </w:rPr>
        <w:t>.</w:t>
      </w:r>
      <w:r>
        <w:rPr>
          <w:rFonts w:ascii="Arial" w:hAnsi="Arial" w:cs="Arial"/>
          <w:sz w:val="23"/>
          <w:szCs w:val="23"/>
          <w:lang w:val="fr-FR"/>
        </w:rPr>
        <w:t xml:space="preserve">étude en 2008 sur le Développement Durable de la Bioénergie dans les pays membres. La présente étude a pour objectif de poursuivre cet effort en identifiant des pistes concrètes de mise en œuvre de projets relatifs à la bioénergie dans ses Etats membres. </w:t>
      </w:r>
    </w:p>
    <w:p w14:paraId="10AFFC3E" w14:textId="77777777" w:rsidR="006B4732" w:rsidRDefault="0050145F" w:rsidP="0050145F">
      <w:pPr>
        <w:jc w:val="both"/>
        <w:rPr>
          <w:rFonts w:ascii="Arial" w:hAnsi="Arial" w:cs="Arial"/>
          <w:sz w:val="23"/>
          <w:szCs w:val="23"/>
          <w:lang w:val="fr-FR"/>
        </w:rPr>
      </w:pPr>
      <w:r w:rsidRPr="0092641F">
        <w:rPr>
          <w:rFonts w:ascii="Arial" w:hAnsi="Arial" w:cs="Arial"/>
          <w:sz w:val="23"/>
          <w:szCs w:val="23"/>
          <w:lang w:val="fr-FR"/>
        </w:rPr>
        <w:t>Dans ce contexte et dans le cadre de la mise en œuvre du Projet</w:t>
      </w:r>
      <w:r>
        <w:rPr>
          <w:rFonts w:ascii="Arial" w:hAnsi="Arial" w:cs="Arial"/>
          <w:sz w:val="23"/>
          <w:szCs w:val="23"/>
          <w:lang w:val="fr-FR"/>
        </w:rPr>
        <w:t xml:space="preserve"> de développement des</w:t>
      </w:r>
      <w:r w:rsidRPr="0092641F">
        <w:rPr>
          <w:rFonts w:ascii="Arial" w:hAnsi="Arial" w:cs="Arial"/>
          <w:sz w:val="23"/>
          <w:szCs w:val="23"/>
          <w:lang w:val="fr-FR"/>
        </w:rPr>
        <w:t xml:space="preserve"> </w:t>
      </w:r>
      <w:r>
        <w:rPr>
          <w:rFonts w:ascii="Arial" w:hAnsi="Arial" w:cs="Arial"/>
          <w:sz w:val="23"/>
          <w:szCs w:val="23"/>
          <w:lang w:val="fr-FR"/>
        </w:rPr>
        <w:t>énergies</w:t>
      </w:r>
      <w:r w:rsidRPr="0092641F">
        <w:rPr>
          <w:rFonts w:ascii="Arial" w:hAnsi="Arial" w:cs="Arial"/>
          <w:sz w:val="23"/>
          <w:szCs w:val="23"/>
          <w:lang w:val="fr-FR"/>
        </w:rPr>
        <w:t xml:space="preserve"> renouvelables et alternatives du Programme </w:t>
      </w:r>
      <w:r>
        <w:rPr>
          <w:rFonts w:ascii="Arial" w:hAnsi="Arial" w:cs="Arial"/>
          <w:sz w:val="23"/>
          <w:szCs w:val="23"/>
          <w:lang w:val="fr-FR"/>
        </w:rPr>
        <w:t>R</w:t>
      </w:r>
      <w:r w:rsidRPr="0092641F">
        <w:rPr>
          <w:rFonts w:ascii="Arial" w:hAnsi="Arial" w:cs="Arial"/>
          <w:sz w:val="23"/>
          <w:szCs w:val="23"/>
          <w:lang w:val="fr-FR"/>
        </w:rPr>
        <w:t xml:space="preserve">égional de </w:t>
      </w:r>
      <w:r>
        <w:rPr>
          <w:rFonts w:ascii="Arial" w:hAnsi="Arial" w:cs="Arial"/>
          <w:sz w:val="23"/>
          <w:szCs w:val="23"/>
          <w:lang w:val="fr-FR"/>
        </w:rPr>
        <w:t>D</w:t>
      </w:r>
      <w:r w:rsidRPr="0092641F">
        <w:rPr>
          <w:rFonts w:ascii="Arial" w:hAnsi="Arial" w:cs="Arial"/>
          <w:sz w:val="23"/>
          <w:szCs w:val="23"/>
          <w:lang w:val="fr-FR"/>
        </w:rPr>
        <w:t xml:space="preserve">éveloppement </w:t>
      </w:r>
      <w:r>
        <w:rPr>
          <w:rFonts w:ascii="Arial" w:hAnsi="Arial" w:cs="Arial"/>
          <w:sz w:val="23"/>
          <w:szCs w:val="23"/>
          <w:lang w:val="fr-FR"/>
        </w:rPr>
        <w:t xml:space="preserve"> de l’E</w:t>
      </w:r>
      <w:r w:rsidRPr="0092641F">
        <w:rPr>
          <w:rFonts w:ascii="Arial" w:hAnsi="Arial" w:cs="Arial"/>
          <w:sz w:val="23"/>
          <w:szCs w:val="23"/>
          <w:lang w:val="fr-FR"/>
        </w:rPr>
        <w:t>nerg</w:t>
      </w:r>
      <w:r>
        <w:rPr>
          <w:rFonts w:ascii="Arial" w:hAnsi="Arial" w:cs="Arial"/>
          <w:sz w:val="23"/>
          <w:szCs w:val="23"/>
          <w:lang w:val="fr-FR"/>
        </w:rPr>
        <w:t>ie (PRDE) du NEPAD</w:t>
      </w:r>
      <w:r w:rsidRPr="0092641F">
        <w:rPr>
          <w:rFonts w:ascii="Arial" w:hAnsi="Arial" w:cs="Arial"/>
          <w:sz w:val="23"/>
          <w:szCs w:val="23"/>
          <w:lang w:val="fr-FR"/>
        </w:rPr>
        <w:t xml:space="preserve">, l'UEMOA a établi des contacts avec l'Agence de </w:t>
      </w:r>
      <w:r>
        <w:rPr>
          <w:rFonts w:ascii="Arial" w:hAnsi="Arial" w:cs="Arial"/>
          <w:sz w:val="23"/>
          <w:szCs w:val="23"/>
          <w:lang w:val="fr-FR"/>
        </w:rPr>
        <w:t xml:space="preserve">Développement de l’Union Africaine - NEPAD (ADUA-NEPAD) </w:t>
      </w:r>
      <w:r w:rsidRPr="0092641F">
        <w:rPr>
          <w:rFonts w:ascii="Arial" w:hAnsi="Arial" w:cs="Arial"/>
          <w:sz w:val="23"/>
          <w:szCs w:val="23"/>
          <w:lang w:val="fr-FR"/>
        </w:rPr>
        <w:t xml:space="preserve"> pour lancer une initiative pour le développement des bioénergies en Afrique de l'Ouest. </w:t>
      </w:r>
      <w:r>
        <w:rPr>
          <w:rFonts w:ascii="Arial" w:hAnsi="Arial" w:cs="Arial"/>
          <w:sz w:val="23"/>
          <w:szCs w:val="23"/>
          <w:lang w:val="fr-FR"/>
        </w:rPr>
        <w:t xml:space="preserve">Un des premiers jalons de cette initiative est l’élaboration d’une </w:t>
      </w:r>
      <w:r w:rsidRPr="0092641F">
        <w:rPr>
          <w:rFonts w:ascii="Arial" w:hAnsi="Arial" w:cs="Arial"/>
          <w:sz w:val="23"/>
          <w:szCs w:val="23"/>
          <w:lang w:val="fr-FR"/>
        </w:rPr>
        <w:t xml:space="preserve">étude de faisabilité </w:t>
      </w:r>
      <w:r>
        <w:rPr>
          <w:rFonts w:ascii="Arial" w:hAnsi="Arial" w:cs="Arial"/>
          <w:sz w:val="23"/>
          <w:szCs w:val="23"/>
          <w:lang w:val="fr-FR"/>
        </w:rPr>
        <w:t xml:space="preserve">comme </w:t>
      </w:r>
      <w:r w:rsidRPr="0092641F">
        <w:rPr>
          <w:rFonts w:ascii="Arial" w:hAnsi="Arial" w:cs="Arial"/>
          <w:sz w:val="23"/>
          <w:szCs w:val="23"/>
          <w:lang w:val="fr-FR"/>
        </w:rPr>
        <w:t>première phase d'un projet qui comprend également une table ronde sur la mobilisation de</w:t>
      </w:r>
      <w:r w:rsidR="006B4732">
        <w:rPr>
          <w:rFonts w:ascii="Arial" w:hAnsi="Arial" w:cs="Arial"/>
          <w:sz w:val="23"/>
          <w:szCs w:val="23"/>
          <w:lang w:val="fr-FR"/>
        </w:rPr>
        <w:t>s</w:t>
      </w:r>
      <w:r w:rsidRPr="0092641F">
        <w:rPr>
          <w:rFonts w:ascii="Arial" w:hAnsi="Arial" w:cs="Arial"/>
          <w:sz w:val="23"/>
          <w:szCs w:val="23"/>
          <w:lang w:val="fr-FR"/>
        </w:rPr>
        <w:t xml:space="preserve"> resso</w:t>
      </w:r>
      <w:r w:rsidR="006B4732">
        <w:rPr>
          <w:rFonts w:ascii="Arial" w:hAnsi="Arial" w:cs="Arial"/>
          <w:sz w:val="23"/>
          <w:szCs w:val="23"/>
          <w:lang w:val="fr-FR"/>
        </w:rPr>
        <w:t>urces pour la mise en œuvre  de</w:t>
      </w:r>
      <w:r w:rsidRPr="0092641F">
        <w:rPr>
          <w:rFonts w:ascii="Arial" w:hAnsi="Arial" w:cs="Arial"/>
          <w:sz w:val="23"/>
          <w:szCs w:val="23"/>
          <w:lang w:val="fr-FR"/>
        </w:rPr>
        <w:t xml:space="preserve"> projets bioénergétiques spécifiques bancables</w:t>
      </w:r>
      <w:r>
        <w:rPr>
          <w:rFonts w:ascii="Arial" w:hAnsi="Arial" w:cs="Arial"/>
          <w:sz w:val="23"/>
          <w:szCs w:val="23"/>
          <w:lang w:val="fr-FR"/>
        </w:rPr>
        <w:t>,</w:t>
      </w:r>
      <w:r w:rsidRPr="0092641F">
        <w:rPr>
          <w:rFonts w:ascii="Arial" w:hAnsi="Arial" w:cs="Arial"/>
          <w:sz w:val="23"/>
          <w:szCs w:val="23"/>
          <w:lang w:val="fr-FR"/>
        </w:rPr>
        <w:t xml:space="preserve"> </w:t>
      </w:r>
      <w:r>
        <w:rPr>
          <w:rFonts w:ascii="Arial" w:hAnsi="Arial" w:cs="Arial"/>
          <w:sz w:val="23"/>
          <w:szCs w:val="23"/>
          <w:lang w:val="fr-FR"/>
        </w:rPr>
        <w:t xml:space="preserve">identifiés par la dite </w:t>
      </w:r>
      <w:r w:rsidRPr="0092641F">
        <w:rPr>
          <w:rFonts w:ascii="Arial" w:hAnsi="Arial" w:cs="Arial"/>
          <w:sz w:val="23"/>
          <w:szCs w:val="23"/>
          <w:lang w:val="fr-FR"/>
        </w:rPr>
        <w:t>étude</w:t>
      </w:r>
      <w:r>
        <w:rPr>
          <w:rFonts w:ascii="Arial" w:hAnsi="Arial" w:cs="Arial"/>
          <w:sz w:val="23"/>
          <w:szCs w:val="23"/>
          <w:lang w:val="fr-FR"/>
        </w:rPr>
        <w:t xml:space="preserve"> : </w:t>
      </w:r>
    </w:p>
    <w:p w14:paraId="4A6C8BB9" w14:textId="63D86563" w:rsidR="006B4732" w:rsidRPr="0092641F" w:rsidRDefault="006B4732" w:rsidP="006B4732">
      <w:pPr>
        <w:jc w:val="both"/>
        <w:rPr>
          <w:rFonts w:ascii="Arial" w:hAnsi="Arial" w:cs="Arial"/>
          <w:sz w:val="23"/>
          <w:szCs w:val="23"/>
          <w:lang w:val="fr-FR"/>
        </w:rPr>
      </w:pPr>
      <w:r w:rsidRPr="0092641F">
        <w:rPr>
          <w:rFonts w:ascii="Arial" w:hAnsi="Arial" w:cs="Arial"/>
          <w:sz w:val="23"/>
          <w:szCs w:val="23"/>
          <w:lang w:val="fr-FR"/>
        </w:rPr>
        <w:t>L'intérêt de l'Agence de développement de l'Union africaine - NEPAD (A</w:t>
      </w:r>
      <w:r>
        <w:rPr>
          <w:rFonts w:ascii="Arial" w:hAnsi="Arial" w:cs="Arial"/>
          <w:sz w:val="23"/>
          <w:szCs w:val="23"/>
          <w:lang w:val="fr-FR"/>
        </w:rPr>
        <w:t>DU</w:t>
      </w:r>
      <w:r w:rsidRPr="0092641F">
        <w:rPr>
          <w:rFonts w:ascii="Arial" w:hAnsi="Arial" w:cs="Arial"/>
          <w:sz w:val="23"/>
          <w:szCs w:val="23"/>
          <w:lang w:val="fr-FR"/>
        </w:rPr>
        <w:t>A-NEPAD) dans ce partenariat avec l'UEMOA est de contribuer à la mise en œuvre du cadre continental de l'Agenda 2063 à travers le Programme pour le développement des infrastructures en Afrique (PIDA) et à travers le Programme Détaillé pour le Développement de l'Agriculture Africaine (PDDAA) qui sont deux cadres prioritaires dans lesquels un certain nombre de programmes et projets sont mis en œuvre à l'AD</w:t>
      </w:r>
      <w:r>
        <w:rPr>
          <w:rFonts w:ascii="Arial" w:hAnsi="Arial" w:cs="Arial"/>
          <w:sz w:val="23"/>
          <w:szCs w:val="23"/>
          <w:lang w:val="fr-FR"/>
        </w:rPr>
        <w:t>U</w:t>
      </w:r>
      <w:r w:rsidRPr="0092641F">
        <w:rPr>
          <w:rFonts w:ascii="Arial" w:hAnsi="Arial" w:cs="Arial"/>
          <w:sz w:val="23"/>
          <w:szCs w:val="23"/>
          <w:lang w:val="fr-FR"/>
        </w:rPr>
        <w:t>A-NEPAD. Parmi les valeurs ajou</w:t>
      </w:r>
      <w:r w:rsidR="008C5675">
        <w:rPr>
          <w:rFonts w:ascii="Arial" w:hAnsi="Arial" w:cs="Arial"/>
          <w:sz w:val="23"/>
          <w:szCs w:val="23"/>
          <w:lang w:val="fr-FR"/>
        </w:rPr>
        <w:t>tées de la participation de l'A</w:t>
      </w:r>
      <w:r w:rsidRPr="0092641F">
        <w:rPr>
          <w:rFonts w:ascii="Arial" w:hAnsi="Arial" w:cs="Arial"/>
          <w:sz w:val="23"/>
          <w:szCs w:val="23"/>
          <w:lang w:val="fr-FR"/>
        </w:rPr>
        <w:t>D</w:t>
      </w:r>
      <w:r w:rsidR="008C5675">
        <w:rPr>
          <w:rFonts w:ascii="Arial" w:hAnsi="Arial" w:cs="Arial"/>
          <w:sz w:val="23"/>
          <w:szCs w:val="23"/>
          <w:lang w:val="fr-FR"/>
        </w:rPr>
        <w:t>U</w:t>
      </w:r>
      <w:r w:rsidRPr="0092641F">
        <w:rPr>
          <w:rFonts w:ascii="Arial" w:hAnsi="Arial" w:cs="Arial"/>
          <w:sz w:val="23"/>
          <w:szCs w:val="23"/>
          <w:lang w:val="fr-FR"/>
        </w:rPr>
        <w:t xml:space="preserve">A-NEPAD à ce </w:t>
      </w:r>
      <w:r w:rsidRPr="0092641F">
        <w:rPr>
          <w:rFonts w:ascii="Arial" w:hAnsi="Arial" w:cs="Arial"/>
          <w:sz w:val="23"/>
          <w:szCs w:val="23"/>
          <w:lang w:val="fr-FR"/>
        </w:rPr>
        <w:lastRenderedPageBreak/>
        <w:t xml:space="preserve">projet, on peut citer le contrôle de la qualité du travail de conseil, le partenariat avec des universités et institutions internationales et l'adoption des résultats de l'étude de faisabilité pour promouvoir le développement de la bioénergie dans d'autres régions du continent, favorisant ainsi l’insertion de la bioénergie en tant que projet PIDA, afin d’accélérer l’adoption du mix des énergies renouvelables sur le continent. </w:t>
      </w:r>
    </w:p>
    <w:p w14:paraId="413910B3" w14:textId="77777777" w:rsidR="006B4732" w:rsidRDefault="006B4732" w:rsidP="006B4732">
      <w:pPr>
        <w:jc w:val="both"/>
        <w:rPr>
          <w:rFonts w:ascii="Arial" w:hAnsi="Arial" w:cs="Arial"/>
          <w:sz w:val="23"/>
          <w:szCs w:val="23"/>
          <w:lang w:val="fr-FR"/>
        </w:rPr>
      </w:pPr>
      <w:r w:rsidRPr="0092641F">
        <w:rPr>
          <w:rFonts w:ascii="Arial" w:hAnsi="Arial" w:cs="Arial"/>
          <w:sz w:val="23"/>
          <w:szCs w:val="23"/>
          <w:lang w:val="fr-FR"/>
        </w:rPr>
        <w:t>Suite à deux (02) réunions du Comité technique ad hoc entre l</w:t>
      </w:r>
      <w:r>
        <w:rPr>
          <w:rFonts w:ascii="Arial" w:hAnsi="Arial" w:cs="Arial"/>
          <w:sz w:val="23"/>
          <w:szCs w:val="23"/>
          <w:lang w:val="fr-FR"/>
        </w:rPr>
        <w:t>a Direction de l’Energie de la Commission de l</w:t>
      </w:r>
      <w:r w:rsidRPr="0092641F">
        <w:rPr>
          <w:rFonts w:ascii="Arial" w:hAnsi="Arial" w:cs="Arial"/>
          <w:sz w:val="23"/>
          <w:szCs w:val="23"/>
          <w:lang w:val="fr-FR"/>
        </w:rPr>
        <w:t>'UEMOA et l</w:t>
      </w:r>
      <w:r>
        <w:rPr>
          <w:rFonts w:ascii="Arial" w:hAnsi="Arial" w:cs="Arial"/>
          <w:sz w:val="23"/>
          <w:szCs w:val="23"/>
          <w:lang w:val="fr-FR"/>
        </w:rPr>
        <w:t xml:space="preserve">a Direction des Programmes de l’Agence du </w:t>
      </w:r>
      <w:r w:rsidRPr="0092641F">
        <w:rPr>
          <w:rFonts w:ascii="Arial" w:hAnsi="Arial" w:cs="Arial"/>
          <w:sz w:val="23"/>
          <w:szCs w:val="23"/>
          <w:lang w:val="fr-FR"/>
        </w:rPr>
        <w:t>NEPAD</w:t>
      </w:r>
      <w:r>
        <w:rPr>
          <w:rFonts w:ascii="Arial" w:hAnsi="Arial" w:cs="Arial"/>
          <w:sz w:val="23"/>
          <w:szCs w:val="23"/>
          <w:lang w:val="fr-FR"/>
        </w:rPr>
        <w:t xml:space="preserve"> devenu en 2019 l’Agence de Développement de l’Union Africaine (ADUA-NEPAD)</w:t>
      </w:r>
      <w:r w:rsidRPr="0092641F">
        <w:rPr>
          <w:rFonts w:ascii="Arial" w:hAnsi="Arial" w:cs="Arial"/>
          <w:sz w:val="23"/>
          <w:szCs w:val="23"/>
          <w:lang w:val="fr-FR"/>
        </w:rPr>
        <w:t xml:space="preserve">, une feuille de route pour l'Initiative Bioénergie a été élaborée et adoptée. Afin de mettre en œuvre cette feuille de route, un Accord-Cadre de coopération et de partenariat entre l'UEMOA et l'Agence du NEPAD a été signé en octobre 2016. En outre, un accord d'agence d'exécution sur la bioénergie, soutenu par l’Accord-Cadre, a été signé le 3 août 2018. </w:t>
      </w:r>
    </w:p>
    <w:p w14:paraId="45426A5C" w14:textId="77777777" w:rsidR="006B4732" w:rsidRPr="0092641F" w:rsidRDefault="006B4732" w:rsidP="006B4732">
      <w:pPr>
        <w:jc w:val="both"/>
        <w:rPr>
          <w:rFonts w:ascii="Arial" w:hAnsi="Arial" w:cs="Arial"/>
          <w:sz w:val="23"/>
          <w:szCs w:val="23"/>
          <w:lang w:val="fr-FR"/>
        </w:rPr>
      </w:pPr>
      <w:r w:rsidRPr="0092641F">
        <w:rPr>
          <w:rFonts w:ascii="Arial" w:hAnsi="Arial" w:cs="Arial"/>
          <w:sz w:val="23"/>
          <w:szCs w:val="23"/>
          <w:lang w:val="fr-FR"/>
        </w:rPr>
        <w:t>La feuille de route qui fait partie intégrante de la Convention, prévoit la réalisation d'une étude régionale de faisabilité pour la production de bioénergie dans la région UEMOA.</w:t>
      </w:r>
    </w:p>
    <w:p w14:paraId="1FF72244" w14:textId="77777777" w:rsidR="006B4732" w:rsidRPr="0092641F" w:rsidRDefault="006B4732" w:rsidP="006B4732">
      <w:pPr>
        <w:jc w:val="both"/>
        <w:rPr>
          <w:rFonts w:ascii="Arial" w:hAnsi="Arial" w:cs="Arial"/>
          <w:b/>
          <w:sz w:val="23"/>
          <w:szCs w:val="23"/>
          <w:lang w:val="fr-FR"/>
        </w:rPr>
      </w:pPr>
      <w:r w:rsidRPr="0092641F">
        <w:rPr>
          <w:rFonts w:ascii="Arial" w:hAnsi="Arial" w:cs="Arial"/>
          <w:b/>
          <w:sz w:val="23"/>
          <w:szCs w:val="23"/>
          <w:lang w:val="fr-FR"/>
        </w:rPr>
        <w:t>II.</w:t>
      </w:r>
      <w:r w:rsidRPr="0092641F">
        <w:rPr>
          <w:rFonts w:ascii="Arial" w:hAnsi="Arial" w:cs="Arial"/>
          <w:b/>
          <w:sz w:val="23"/>
          <w:szCs w:val="23"/>
          <w:lang w:val="fr-FR"/>
        </w:rPr>
        <w:tab/>
        <w:t>Objectifs de l'étude de faisabilité</w:t>
      </w:r>
    </w:p>
    <w:p w14:paraId="66EA522F" w14:textId="77777777" w:rsidR="006B4732" w:rsidRPr="00CE036C" w:rsidRDefault="006B4732" w:rsidP="006B4732">
      <w:pPr>
        <w:jc w:val="both"/>
        <w:rPr>
          <w:rFonts w:ascii="Arial" w:hAnsi="Arial" w:cs="Arial"/>
          <w:b/>
          <w:sz w:val="23"/>
          <w:szCs w:val="23"/>
          <w:lang w:val="fr-FR"/>
        </w:rPr>
      </w:pPr>
      <w:r w:rsidRPr="00CE036C">
        <w:rPr>
          <w:rFonts w:ascii="Arial" w:hAnsi="Arial" w:cs="Arial"/>
          <w:b/>
          <w:sz w:val="23"/>
          <w:szCs w:val="23"/>
          <w:lang w:val="fr-FR"/>
        </w:rPr>
        <w:t xml:space="preserve">2.1. Objectif général </w:t>
      </w:r>
    </w:p>
    <w:p w14:paraId="465FB9DA" w14:textId="77777777" w:rsidR="006B4732" w:rsidRPr="0092641F" w:rsidRDefault="006B4732" w:rsidP="006B4732">
      <w:pPr>
        <w:jc w:val="both"/>
        <w:rPr>
          <w:rFonts w:ascii="Arial" w:hAnsi="Arial" w:cs="Arial"/>
          <w:sz w:val="23"/>
          <w:szCs w:val="23"/>
          <w:lang w:val="fr-FR"/>
        </w:rPr>
      </w:pPr>
      <w:r w:rsidRPr="0092641F">
        <w:rPr>
          <w:rFonts w:ascii="Arial" w:hAnsi="Arial" w:cs="Arial"/>
          <w:sz w:val="23"/>
          <w:szCs w:val="23"/>
          <w:lang w:val="fr-FR"/>
        </w:rPr>
        <w:t xml:space="preserve">L'objectif </w:t>
      </w:r>
      <w:r>
        <w:rPr>
          <w:rFonts w:ascii="Arial" w:hAnsi="Arial" w:cs="Arial"/>
          <w:sz w:val="23"/>
          <w:szCs w:val="23"/>
          <w:lang w:val="fr-FR"/>
        </w:rPr>
        <w:t>général</w:t>
      </w:r>
      <w:r w:rsidRPr="0092641F">
        <w:rPr>
          <w:rFonts w:ascii="Arial" w:hAnsi="Arial" w:cs="Arial"/>
          <w:sz w:val="23"/>
          <w:szCs w:val="23"/>
          <w:lang w:val="fr-FR"/>
        </w:rPr>
        <w:t xml:space="preserve"> de cette étude de faisabilité est de contribuer au développement des énergies renouvelables par le développement de la bioénergie avec une croissance socio-économique inclusive et durable comportant des bénéfices environnementaux.</w:t>
      </w:r>
      <w:r>
        <w:rPr>
          <w:rFonts w:ascii="Arial" w:hAnsi="Arial" w:cs="Arial"/>
          <w:sz w:val="23"/>
          <w:szCs w:val="23"/>
          <w:lang w:val="fr-FR"/>
        </w:rPr>
        <w:t xml:space="preserve"> Ceci se fera à travers l’élaboration de projets bancables qui seront présentés à une table ronde pour la mobilisation de ressources. </w:t>
      </w:r>
    </w:p>
    <w:p w14:paraId="6169C5CC" w14:textId="77777777" w:rsidR="006B4732" w:rsidRPr="0031453E" w:rsidRDefault="006B4732" w:rsidP="006B4732">
      <w:pPr>
        <w:jc w:val="both"/>
        <w:rPr>
          <w:rFonts w:ascii="Arial" w:hAnsi="Arial" w:cs="Arial"/>
          <w:b/>
          <w:sz w:val="23"/>
          <w:szCs w:val="23"/>
          <w:lang w:val="fr-FR"/>
        </w:rPr>
      </w:pPr>
      <w:r w:rsidRPr="0031453E">
        <w:rPr>
          <w:rFonts w:ascii="Arial" w:hAnsi="Arial" w:cs="Arial"/>
          <w:b/>
          <w:sz w:val="23"/>
          <w:szCs w:val="23"/>
          <w:lang w:val="fr-FR"/>
        </w:rPr>
        <w:t>2.2. Objectifs spécifiques</w:t>
      </w:r>
    </w:p>
    <w:p w14:paraId="31D608A3" w14:textId="77777777" w:rsidR="006B4732" w:rsidRPr="0092641F" w:rsidRDefault="006B4732" w:rsidP="006B4732">
      <w:pPr>
        <w:jc w:val="both"/>
        <w:rPr>
          <w:rFonts w:ascii="Arial" w:hAnsi="Arial" w:cs="Arial"/>
          <w:sz w:val="23"/>
          <w:szCs w:val="23"/>
          <w:lang w:val="fr-FR"/>
        </w:rPr>
      </w:pPr>
      <w:r w:rsidRPr="0092641F">
        <w:rPr>
          <w:rFonts w:ascii="Arial" w:hAnsi="Arial" w:cs="Arial"/>
          <w:sz w:val="23"/>
          <w:szCs w:val="23"/>
          <w:lang w:val="fr-FR"/>
        </w:rPr>
        <w:t xml:space="preserve">Les objectifs spécifiques de l'étude de faisabilité sont de : </w:t>
      </w:r>
    </w:p>
    <w:p w14:paraId="7B1633C5" w14:textId="77777777" w:rsidR="006B4732" w:rsidRPr="0031453E" w:rsidRDefault="006B4732" w:rsidP="006B4732">
      <w:pPr>
        <w:pStyle w:val="ListParagraph"/>
        <w:numPr>
          <w:ilvl w:val="0"/>
          <w:numId w:val="2"/>
        </w:numPr>
        <w:jc w:val="both"/>
        <w:rPr>
          <w:rFonts w:ascii="Arial" w:hAnsi="Arial" w:cs="Arial"/>
          <w:sz w:val="23"/>
          <w:szCs w:val="23"/>
          <w:lang w:val="fr-FR"/>
        </w:rPr>
      </w:pPr>
      <w:r w:rsidRPr="0031453E">
        <w:rPr>
          <w:rFonts w:ascii="Arial" w:hAnsi="Arial" w:cs="Arial"/>
          <w:sz w:val="23"/>
          <w:szCs w:val="23"/>
          <w:lang w:val="fr-FR"/>
        </w:rPr>
        <w:t>informer sur les modèles d'entreprise (business model) les plus appropriés dans le domaine du développement de la bioénergie, tout au long de la chaîne de valeur, en termes de viabilité, de durabilité, de rentabilité (coût-bénéfice) et d'inclusivité (répondant aux besoins d'une majorité de la population, en particulier celles utilisant actuellement la biomasse traditionnelle</w:t>
      </w:r>
      <w:r>
        <w:rPr>
          <w:rFonts w:ascii="Arial" w:hAnsi="Arial" w:cs="Arial"/>
          <w:sz w:val="23"/>
          <w:szCs w:val="23"/>
          <w:lang w:val="fr-FR"/>
        </w:rPr>
        <w:t> ; et favorisant leur autonomisation</w:t>
      </w:r>
      <w:r w:rsidRPr="0031453E">
        <w:rPr>
          <w:rFonts w:ascii="Arial" w:hAnsi="Arial" w:cs="Arial"/>
          <w:sz w:val="23"/>
          <w:szCs w:val="23"/>
          <w:lang w:val="fr-FR"/>
        </w:rPr>
        <w:t>) répondant ainsi aux critères de replicabilité et de mise à l’échelle</w:t>
      </w:r>
      <w:r>
        <w:rPr>
          <w:rFonts w:ascii="Arial" w:hAnsi="Arial" w:cs="Arial"/>
          <w:sz w:val="23"/>
          <w:szCs w:val="23"/>
          <w:lang w:val="fr-FR"/>
        </w:rPr>
        <w:t> ;</w:t>
      </w:r>
      <w:r w:rsidRPr="0031453E">
        <w:rPr>
          <w:rFonts w:ascii="Arial" w:hAnsi="Arial" w:cs="Arial"/>
          <w:sz w:val="23"/>
          <w:szCs w:val="23"/>
          <w:lang w:val="fr-FR"/>
        </w:rPr>
        <w:t xml:space="preserve"> </w:t>
      </w:r>
    </w:p>
    <w:p w14:paraId="1DCD159D" w14:textId="77777777" w:rsidR="00E26088" w:rsidRPr="0031453E" w:rsidRDefault="00E26088" w:rsidP="00E26088">
      <w:pPr>
        <w:pStyle w:val="ListParagraph"/>
        <w:numPr>
          <w:ilvl w:val="0"/>
          <w:numId w:val="2"/>
        </w:numPr>
        <w:jc w:val="both"/>
        <w:rPr>
          <w:rFonts w:ascii="Arial" w:hAnsi="Arial" w:cs="Arial"/>
          <w:sz w:val="23"/>
          <w:szCs w:val="23"/>
          <w:lang w:val="fr-FR"/>
        </w:rPr>
      </w:pPr>
      <w:r w:rsidRPr="0031453E">
        <w:rPr>
          <w:rFonts w:ascii="Arial" w:hAnsi="Arial" w:cs="Arial"/>
          <w:sz w:val="23"/>
          <w:szCs w:val="23"/>
          <w:lang w:val="fr-FR"/>
        </w:rPr>
        <w:t>identifier les axes de développement liés à la création de synergies positives entre la bioénergie (y compris la cogénération d'électricité), la productivité agricole</w:t>
      </w:r>
      <w:r>
        <w:rPr>
          <w:rFonts w:ascii="Arial" w:hAnsi="Arial" w:cs="Arial"/>
          <w:sz w:val="23"/>
          <w:szCs w:val="23"/>
          <w:lang w:val="fr-FR"/>
        </w:rPr>
        <w:t>, la reforestation</w:t>
      </w:r>
      <w:r w:rsidRPr="0031453E">
        <w:rPr>
          <w:rFonts w:ascii="Arial" w:hAnsi="Arial" w:cs="Arial"/>
          <w:sz w:val="23"/>
          <w:szCs w:val="23"/>
          <w:lang w:val="fr-FR"/>
        </w:rPr>
        <w:t xml:space="preserve"> et la sécurité alimentaire</w:t>
      </w:r>
      <w:r>
        <w:rPr>
          <w:rFonts w:ascii="Arial" w:hAnsi="Arial" w:cs="Arial"/>
          <w:sz w:val="23"/>
          <w:szCs w:val="23"/>
          <w:lang w:val="fr-FR"/>
        </w:rPr>
        <w:t> </w:t>
      </w:r>
      <w:r w:rsidRPr="0031453E">
        <w:rPr>
          <w:rFonts w:ascii="Arial" w:hAnsi="Arial" w:cs="Arial"/>
          <w:sz w:val="23"/>
          <w:szCs w:val="23"/>
          <w:lang w:val="fr-FR"/>
        </w:rPr>
        <w:t>;</w:t>
      </w:r>
    </w:p>
    <w:p w14:paraId="5FC2E40D" w14:textId="77777777" w:rsidR="00E26088" w:rsidRPr="0031453E" w:rsidRDefault="00E26088" w:rsidP="00E26088">
      <w:pPr>
        <w:pStyle w:val="ListParagraph"/>
        <w:numPr>
          <w:ilvl w:val="0"/>
          <w:numId w:val="2"/>
        </w:numPr>
        <w:jc w:val="both"/>
        <w:rPr>
          <w:rFonts w:ascii="Arial" w:hAnsi="Arial" w:cs="Arial"/>
          <w:sz w:val="23"/>
          <w:szCs w:val="23"/>
          <w:lang w:val="fr-FR"/>
        </w:rPr>
      </w:pPr>
      <w:r>
        <w:rPr>
          <w:rFonts w:ascii="Arial" w:hAnsi="Arial" w:cs="Arial"/>
          <w:sz w:val="23"/>
          <w:szCs w:val="23"/>
          <w:lang w:val="fr-FR"/>
        </w:rPr>
        <w:t>d</w:t>
      </w:r>
      <w:r w:rsidRPr="0031453E">
        <w:rPr>
          <w:rFonts w:ascii="Arial" w:hAnsi="Arial" w:cs="Arial"/>
          <w:sz w:val="23"/>
          <w:szCs w:val="23"/>
          <w:lang w:val="fr-FR"/>
        </w:rPr>
        <w:t>éfinir les conditions de valorisation et de développement des unités de production de bioénergie (</w:t>
      </w:r>
      <w:r>
        <w:rPr>
          <w:rFonts w:ascii="Arial" w:hAnsi="Arial" w:cs="Arial"/>
          <w:sz w:val="23"/>
          <w:szCs w:val="23"/>
          <w:lang w:val="fr-FR"/>
        </w:rPr>
        <w:t>en particulier</w:t>
      </w:r>
      <w:r w:rsidRPr="0031453E">
        <w:rPr>
          <w:rFonts w:ascii="Arial" w:hAnsi="Arial" w:cs="Arial"/>
          <w:sz w:val="23"/>
          <w:szCs w:val="23"/>
          <w:lang w:val="fr-FR"/>
        </w:rPr>
        <w:t xml:space="preserve"> le bioéthanol, le biodiesel et le biogaz</w:t>
      </w:r>
      <w:r>
        <w:rPr>
          <w:rFonts w:ascii="Arial" w:hAnsi="Arial" w:cs="Arial"/>
          <w:sz w:val="23"/>
          <w:szCs w:val="23"/>
          <w:lang w:val="fr-FR"/>
        </w:rPr>
        <w:t xml:space="preserve"> pour l’accès aux énergies de cuisson ; l’électricité et le biocarburant</w:t>
      </w:r>
      <w:r w:rsidRPr="0031453E">
        <w:rPr>
          <w:rFonts w:ascii="Arial" w:hAnsi="Arial" w:cs="Arial"/>
          <w:sz w:val="23"/>
          <w:szCs w:val="23"/>
          <w:lang w:val="fr-FR"/>
        </w:rPr>
        <w:t>) par la promotion du transfert de technologie</w:t>
      </w:r>
      <w:r>
        <w:rPr>
          <w:rFonts w:ascii="Arial" w:hAnsi="Arial" w:cs="Arial"/>
          <w:sz w:val="23"/>
          <w:szCs w:val="23"/>
          <w:lang w:val="fr-FR"/>
        </w:rPr>
        <w:t>s</w:t>
      </w:r>
      <w:r w:rsidRPr="0031453E">
        <w:rPr>
          <w:rFonts w:ascii="Arial" w:hAnsi="Arial" w:cs="Arial"/>
          <w:sz w:val="23"/>
          <w:szCs w:val="23"/>
          <w:lang w:val="fr-FR"/>
        </w:rPr>
        <w:t xml:space="preserve">; </w:t>
      </w:r>
    </w:p>
    <w:p w14:paraId="52B3B385" w14:textId="77777777" w:rsidR="00E26088" w:rsidRPr="0031453E" w:rsidRDefault="00E26088" w:rsidP="00E26088">
      <w:pPr>
        <w:pStyle w:val="ListParagraph"/>
        <w:numPr>
          <w:ilvl w:val="0"/>
          <w:numId w:val="2"/>
        </w:numPr>
        <w:jc w:val="both"/>
        <w:rPr>
          <w:rFonts w:ascii="Arial" w:hAnsi="Arial" w:cs="Arial"/>
          <w:sz w:val="23"/>
          <w:szCs w:val="23"/>
          <w:lang w:val="fr-FR"/>
        </w:rPr>
      </w:pPr>
      <w:r w:rsidRPr="0031453E">
        <w:rPr>
          <w:rFonts w:ascii="Arial" w:hAnsi="Arial" w:cs="Arial"/>
          <w:sz w:val="23"/>
          <w:szCs w:val="23"/>
          <w:lang w:val="fr-FR"/>
        </w:rPr>
        <w:t>présenter un nombre limité de scénari</w:t>
      </w:r>
      <w:r>
        <w:rPr>
          <w:rFonts w:ascii="Arial" w:hAnsi="Arial" w:cs="Arial"/>
          <w:sz w:val="23"/>
          <w:szCs w:val="23"/>
          <w:lang w:val="fr-FR"/>
        </w:rPr>
        <w:t>i</w:t>
      </w:r>
      <w:r w:rsidRPr="0031453E">
        <w:rPr>
          <w:rFonts w:ascii="Arial" w:hAnsi="Arial" w:cs="Arial"/>
          <w:sz w:val="23"/>
          <w:szCs w:val="23"/>
          <w:lang w:val="fr-FR"/>
        </w:rPr>
        <w:t xml:space="preserve">, montrant les coûts </w:t>
      </w:r>
      <w:r>
        <w:rPr>
          <w:rFonts w:ascii="Arial" w:hAnsi="Arial" w:cs="Arial"/>
          <w:sz w:val="23"/>
          <w:szCs w:val="23"/>
          <w:lang w:val="fr-FR"/>
        </w:rPr>
        <w:t>–</w:t>
      </w:r>
      <w:r w:rsidRPr="0031453E">
        <w:rPr>
          <w:rFonts w:ascii="Arial" w:hAnsi="Arial" w:cs="Arial"/>
          <w:sz w:val="23"/>
          <w:szCs w:val="23"/>
          <w:lang w:val="fr-FR"/>
        </w:rPr>
        <w:t xml:space="preserve"> avantages</w:t>
      </w:r>
      <w:r>
        <w:rPr>
          <w:rFonts w:ascii="Arial" w:hAnsi="Arial" w:cs="Arial"/>
          <w:sz w:val="23"/>
          <w:szCs w:val="23"/>
          <w:lang w:val="fr-FR"/>
        </w:rPr>
        <w:t xml:space="preserve"> ; les gains et pertes au plan économique, social et environnemental provoqués par les </w:t>
      </w:r>
      <w:r w:rsidRPr="0031453E">
        <w:rPr>
          <w:rFonts w:ascii="Arial" w:hAnsi="Arial" w:cs="Arial"/>
          <w:sz w:val="23"/>
          <w:szCs w:val="23"/>
          <w:lang w:val="fr-FR"/>
        </w:rPr>
        <w:t xml:space="preserve">différentes options </w:t>
      </w:r>
      <w:r>
        <w:rPr>
          <w:rFonts w:ascii="Arial" w:hAnsi="Arial" w:cs="Arial"/>
          <w:sz w:val="23"/>
          <w:szCs w:val="23"/>
          <w:lang w:val="fr-FR"/>
        </w:rPr>
        <w:t>d’</w:t>
      </w:r>
      <w:r w:rsidRPr="0031453E">
        <w:rPr>
          <w:rFonts w:ascii="Arial" w:hAnsi="Arial" w:cs="Arial"/>
          <w:sz w:val="23"/>
          <w:szCs w:val="23"/>
          <w:lang w:val="fr-FR"/>
        </w:rPr>
        <w:t>investissements à effectuer</w:t>
      </w:r>
      <w:r>
        <w:rPr>
          <w:rFonts w:ascii="Arial" w:hAnsi="Arial" w:cs="Arial"/>
          <w:sz w:val="23"/>
          <w:szCs w:val="23"/>
          <w:lang w:val="fr-FR"/>
        </w:rPr>
        <w:t> </w:t>
      </w:r>
      <w:r w:rsidRPr="0031453E">
        <w:rPr>
          <w:rFonts w:ascii="Arial" w:hAnsi="Arial" w:cs="Arial"/>
          <w:sz w:val="23"/>
          <w:szCs w:val="23"/>
          <w:lang w:val="fr-FR"/>
        </w:rPr>
        <w:t>;</w:t>
      </w:r>
    </w:p>
    <w:p w14:paraId="52FAC544" w14:textId="77777777" w:rsidR="00E26088" w:rsidRPr="0031453E" w:rsidRDefault="00E26088" w:rsidP="00E26088">
      <w:pPr>
        <w:pStyle w:val="ListParagraph"/>
        <w:numPr>
          <w:ilvl w:val="0"/>
          <w:numId w:val="2"/>
        </w:numPr>
        <w:jc w:val="both"/>
        <w:rPr>
          <w:rFonts w:ascii="Arial" w:hAnsi="Arial" w:cs="Arial"/>
          <w:sz w:val="23"/>
          <w:szCs w:val="23"/>
          <w:lang w:val="fr-FR"/>
        </w:rPr>
      </w:pPr>
      <w:r w:rsidRPr="0031453E">
        <w:rPr>
          <w:rFonts w:ascii="Arial" w:hAnsi="Arial" w:cs="Arial"/>
          <w:sz w:val="23"/>
          <w:szCs w:val="23"/>
          <w:lang w:val="fr-FR"/>
        </w:rPr>
        <w:t>identifier les implications du développement de la bioénergie pour les petits exploitants agricoles et le soutien nécessaire pour atteindre la sécurité alimentaire et la sécurité énergétique par la bioénergie de manière synergique</w:t>
      </w:r>
      <w:r>
        <w:rPr>
          <w:rFonts w:ascii="Arial" w:hAnsi="Arial" w:cs="Arial"/>
          <w:sz w:val="23"/>
          <w:szCs w:val="23"/>
          <w:lang w:val="fr-FR"/>
        </w:rPr>
        <w:t> </w:t>
      </w:r>
      <w:r w:rsidRPr="0031453E">
        <w:rPr>
          <w:rFonts w:ascii="Arial" w:hAnsi="Arial" w:cs="Arial"/>
          <w:sz w:val="23"/>
          <w:szCs w:val="23"/>
          <w:lang w:val="fr-FR"/>
        </w:rPr>
        <w:t xml:space="preserve">; </w:t>
      </w:r>
    </w:p>
    <w:p w14:paraId="796E9445" w14:textId="77777777" w:rsidR="00E26088" w:rsidRDefault="00E26088" w:rsidP="00E26088">
      <w:pPr>
        <w:pStyle w:val="ListParagraph"/>
        <w:numPr>
          <w:ilvl w:val="0"/>
          <w:numId w:val="2"/>
        </w:numPr>
        <w:jc w:val="both"/>
        <w:rPr>
          <w:rFonts w:ascii="Arial" w:hAnsi="Arial" w:cs="Arial"/>
          <w:sz w:val="23"/>
          <w:szCs w:val="23"/>
          <w:lang w:val="fr-FR"/>
        </w:rPr>
      </w:pPr>
      <w:r w:rsidRPr="0031453E">
        <w:rPr>
          <w:rFonts w:ascii="Arial" w:hAnsi="Arial" w:cs="Arial"/>
          <w:sz w:val="23"/>
          <w:szCs w:val="23"/>
          <w:lang w:val="fr-FR"/>
        </w:rPr>
        <w:t xml:space="preserve">identifier les obstacles </w:t>
      </w:r>
      <w:r>
        <w:rPr>
          <w:rFonts w:ascii="Arial" w:hAnsi="Arial" w:cs="Arial"/>
          <w:sz w:val="23"/>
          <w:szCs w:val="23"/>
          <w:lang w:val="fr-FR"/>
        </w:rPr>
        <w:t xml:space="preserve">liés aux </w:t>
      </w:r>
      <w:r w:rsidRPr="0031453E">
        <w:rPr>
          <w:rFonts w:ascii="Arial" w:hAnsi="Arial" w:cs="Arial"/>
          <w:sz w:val="23"/>
          <w:szCs w:val="23"/>
          <w:lang w:val="fr-FR"/>
        </w:rPr>
        <w:t xml:space="preserve">politiques et </w:t>
      </w:r>
      <w:r>
        <w:rPr>
          <w:rFonts w:ascii="Arial" w:hAnsi="Arial" w:cs="Arial"/>
          <w:sz w:val="23"/>
          <w:szCs w:val="23"/>
          <w:lang w:val="fr-FR"/>
        </w:rPr>
        <w:t xml:space="preserve">à la </w:t>
      </w:r>
      <w:r w:rsidRPr="0031453E">
        <w:rPr>
          <w:rFonts w:ascii="Arial" w:hAnsi="Arial" w:cs="Arial"/>
          <w:sz w:val="23"/>
          <w:szCs w:val="23"/>
          <w:lang w:val="fr-FR"/>
        </w:rPr>
        <w:t>réglementa</w:t>
      </w:r>
      <w:r>
        <w:rPr>
          <w:rFonts w:ascii="Arial" w:hAnsi="Arial" w:cs="Arial"/>
          <w:sz w:val="23"/>
          <w:szCs w:val="23"/>
          <w:lang w:val="fr-FR"/>
        </w:rPr>
        <w:t xml:space="preserve">tion dans le cadre de </w:t>
      </w:r>
      <w:r w:rsidRPr="0031453E">
        <w:rPr>
          <w:rFonts w:ascii="Arial" w:hAnsi="Arial" w:cs="Arial"/>
          <w:sz w:val="23"/>
          <w:szCs w:val="23"/>
          <w:lang w:val="fr-FR"/>
        </w:rPr>
        <w:t>la production</w:t>
      </w:r>
      <w:r>
        <w:rPr>
          <w:rFonts w:ascii="Arial" w:hAnsi="Arial" w:cs="Arial"/>
          <w:sz w:val="23"/>
          <w:szCs w:val="23"/>
          <w:lang w:val="fr-FR"/>
        </w:rPr>
        <w:t>, la distribution, l’accès</w:t>
      </w:r>
      <w:r w:rsidRPr="0031453E">
        <w:rPr>
          <w:rFonts w:ascii="Arial" w:hAnsi="Arial" w:cs="Arial"/>
          <w:sz w:val="23"/>
          <w:szCs w:val="23"/>
          <w:lang w:val="fr-FR"/>
        </w:rPr>
        <w:t xml:space="preserve"> et l'utilisation efficace</w:t>
      </w:r>
      <w:r>
        <w:rPr>
          <w:rFonts w:ascii="Arial" w:hAnsi="Arial" w:cs="Arial"/>
          <w:sz w:val="23"/>
          <w:szCs w:val="23"/>
          <w:lang w:val="fr-FR"/>
        </w:rPr>
        <w:t>s</w:t>
      </w:r>
      <w:r w:rsidRPr="0031453E">
        <w:rPr>
          <w:rFonts w:ascii="Arial" w:hAnsi="Arial" w:cs="Arial"/>
          <w:sz w:val="23"/>
          <w:szCs w:val="23"/>
          <w:lang w:val="fr-FR"/>
        </w:rPr>
        <w:t xml:space="preserve"> de la bioénergie et les solutions pour y remédier dans la région UEMOA/Afrique de l'Ouest</w:t>
      </w:r>
      <w:r>
        <w:rPr>
          <w:rFonts w:ascii="Arial" w:hAnsi="Arial" w:cs="Arial"/>
          <w:sz w:val="23"/>
          <w:szCs w:val="23"/>
          <w:lang w:val="fr-FR"/>
        </w:rPr>
        <w:t> </w:t>
      </w:r>
      <w:r w:rsidRPr="0031453E">
        <w:rPr>
          <w:rFonts w:ascii="Arial" w:hAnsi="Arial" w:cs="Arial"/>
          <w:sz w:val="23"/>
          <w:szCs w:val="23"/>
          <w:lang w:val="fr-FR"/>
        </w:rPr>
        <w:t>;</w:t>
      </w:r>
    </w:p>
    <w:p w14:paraId="223B21B7" w14:textId="77777777" w:rsidR="0050145F" w:rsidRDefault="00E26088" w:rsidP="00E26088">
      <w:pPr>
        <w:pStyle w:val="ListParagraph"/>
        <w:numPr>
          <w:ilvl w:val="0"/>
          <w:numId w:val="2"/>
        </w:numPr>
        <w:jc w:val="both"/>
        <w:rPr>
          <w:rFonts w:ascii="Arial" w:hAnsi="Arial" w:cs="Arial"/>
          <w:sz w:val="23"/>
          <w:szCs w:val="23"/>
          <w:lang w:val="fr-FR"/>
        </w:rPr>
      </w:pPr>
      <w:r w:rsidRPr="00E26088">
        <w:rPr>
          <w:rFonts w:ascii="Arial" w:hAnsi="Arial" w:cs="Arial"/>
          <w:sz w:val="23"/>
          <w:szCs w:val="23"/>
          <w:lang w:val="fr-FR"/>
        </w:rPr>
        <w:t xml:space="preserve">élaborer des projets bancables et des plans d'affaires (business plans) à partir des options les plus prometteuses, afin de promouvoir la mise en œuvre de projets énergétiques intégrés à un coût abordable et accessible au plus grand nombre. Cela contribuera à </w:t>
      </w:r>
      <w:r w:rsidRPr="00E26088">
        <w:rPr>
          <w:rFonts w:ascii="Arial" w:hAnsi="Arial" w:cs="Arial"/>
          <w:sz w:val="23"/>
          <w:szCs w:val="23"/>
          <w:lang w:val="fr-FR"/>
        </w:rPr>
        <w:lastRenderedPageBreak/>
        <w:t>combler les déficits d'accès à l'énergie des populations rurales et périurbaines d'Afrique de l'Ouest et en tirer des enseignements pour d'autres</w:t>
      </w:r>
      <w:r>
        <w:rPr>
          <w:rFonts w:ascii="Arial" w:hAnsi="Arial" w:cs="Arial"/>
          <w:sz w:val="23"/>
          <w:szCs w:val="23"/>
          <w:lang w:val="fr-FR"/>
        </w:rPr>
        <w:t xml:space="preserve"> </w:t>
      </w:r>
      <w:r w:rsidRPr="0031453E">
        <w:rPr>
          <w:rFonts w:ascii="Arial" w:hAnsi="Arial" w:cs="Arial"/>
          <w:sz w:val="23"/>
          <w:szCs w:val="23"/>
          <w:lang w:val="fr-FR"/>
        </w:rPr>
        <w:t>régions africaines en utilisant les projets PIDA</w:t>
      </w:r>
      <w:r>
        <w:rPr>
          <w:rFonts w:ascii="Arial" w:hAnsi="Arial" w:cs="Arial"/>
          <w:sz w:val="23"/>
          <w:szCs w:val="23"/>
          <w:lang w:val="fr-FR"/>
        </w:rPr>
        <w:t>.</w:t>
      </w:r>
    </w:p>
    <w:p w14:paraId="51892CB1" w14:textId="18979D51" w:rsidR="00E26088" w:rsidRPr="00E26088" w:rsidRDefault="00E26088" w:rsidP="00E26088">
      <w:pPr>
        <w:pStyle w:val="ListParagraph"/>
        <w:numPr>
          <w:ilvl w:val="0"/>
          <w:numId w:val="2"/>
        </w:numPr>
        <w:jc w:val="both"/>
        <w:rPr>
          <w:rFonts w:ascii="Arial" w:hAnsi="Arial" w:cs="Arial"/>
          <w:sz w:val="23"/>
          <w:szCs w:val="23"/>
          <w:lang w:val="fr-FR"/>
        </w:rPr>
      </w:pPr>
      <w:r w:rsidRPr="00E26088">
        <w:rPr>
          <w:rFonts w:ascii="Arial" w:hAnsi="Arial" w:cs="Arial"/>
          <w:sz w:val="23"/>
          <w:szCs w:val="23"/>
          <w:lang w:val="fr-FR"/>
        </w:rPr>
        <w:t xml:space="preserve">L'étude de </w:t>
      </w:r>
      <w:r>
        <w:rPr>
          <w:rFonts w:ascii="Arial" w:hAnsi="Arial" w:cs="Arial"/>
          <w:sz w:val="23"/>
          <w:szCs w:val="23"/>
          <w:lang w:val="fr-FR"/>
        </w:rPr>
        <w:t xml:space="preserve">faisabilité portera </w:t>
      </w:r>
      <w:r w:rsidRPr="00E26088">
        <w:rPr>
          <w:rFonts w:ascii="Arial" w:hAnsi="Arial" w:cs="Arial"/>
          <w:sz w:val="23"/>
          <w:szCs w:val="23"/>
          <w:lang w:val="fr-FR"/>
        </w:rPr>
        <w:t xml:space="preserve">sur 6 pays de l'UEMOA situés dans différentes zones agro-écologiques, notamment : </w:t>
      </w:r>
      <w:r w:rsidR="00E86116">
        <w:rPr>
          <w:rFonts w:ascii="Arial" w:hAnsi="Arial" w:cs="Arial"/>
          <w:sz w:val="23"/>
          <w:szCs w:val="23"/>
          <w:lang w:val="fr-FR"/>
        </w:rPr>
        <w:t xml:space="preserve">le </w:t>
      </w:r>
      <w:r w:rsidRPr="00E26088">
        <w:rPr>
          <w:rFonts w:ascii="Arial" w:hAnsi="Arial" w:cs="Arial"/>
          <w:sz w:val="23"/>
          <w:szCs w:val="23"/>
          <w:lang w:val="fr-FR"/>
        </w:rPr>
        <w:t xml:space="preserve">Burkina Faso, </w:t>
      </w:r>
      <w:r w:rsidR="00E86116">
        <w:rPr>
          <w:rFonts w:ascii="Arial" w:hAnsi="Arial" w:cs="Arial"/>
          <w:sz w:val="23"/>
          <w:szCs w:val="23"/>
          <w:lang w:val="fr-FR"/>
        </w:rPr>
        <w:t xml:space="preserve">la </w:t>
      </w:r>
      <w:r w:rsidRPr="00E26088">
        <w:rPr>
          <w:rFonts w:ascii="Arial" w:hAnsi="Arial" w:cs="Arial"/>
          <w:sz w:val="23"/>
          <w:szCs w:val="23"/>
          <w:lang w:val="fr-FR"/>
        </w:rPr>
        <w:t xml:space="preserve">Côte-d'Ivoire, </w:t>
      </w:r>
      <w:r w:rsidR="00E86116">
        <w:rPr>
          <w:rFonts w:ascii="Arial" w:hAnsi="Arial" w:cs="Arial"/>
          <w:sz w:val="23"/>
          <w:szCs w:val="23"/>
          <w:lang w:val="fr-FR"/>
        </w:rPr>
        <w:t>la</w:t>
      </w:r>
      <w:r w:rsidRPr="00E26088">
        <w:rPr>
          <w:rFonts w:ascii="Arial" w:hAnsi="Arial" w:cs="Arial"/>
          <w:sz w:val="23"/>
          <w:szCs w:val="23"/>
          <w:lang w:val="fr-FR"/>
        </w:rPr>
        <w:t xml:space="preserve"> Guinée-Bissau,</w:t>
      </w:r>
      <w:r w:rsidR="00E86116">
        <w:rPr>
          <w:rFonts w:ascii="Arial" w:hAnsi="Arial" w:cs="Arial"/>
          <w:sz w:val="23"/>
          <w:szCs w:val="23"/>
          <w:lang w:val="fr-FR"/>
        </w:rPr>
        <w:t xml:space="preserve"> le </w:t>
      </w:r>
      <w:r w:rsidRPr="00E26088">
        <w:rPr>
          <w:rFonts w:ascii="Arial" w:hAnsi="Arial" w:cs="Arial"/>
          <w:sz w:val="23"/>
          <w:szCs w:val="23"/>
          <w:lang w:val="fr-FR"/>
        </w:rPr>
        <w:t xml:space="preserve">Niger, </w:t>
      </w:r>
      <w:r w:rsidR="00E86116">
        <w:rPr>
          <w:rFonts w:ascii="Arial" w:hAnsi="Arial" w:cs="Arial"/>
          <w:sz w:val="23"/>
          <w:szCs w:val="23"/>
          <w:lang w:val="fr-FR"/>
        </w:rPr>
        <w:t xml:space="preserve">le </w:t>
      </w:r>
      <w:r w:rsidRPr="00E26088">
        <w:rPr>
          <w:rFonts w:ascii="Arial" w:hAnsi="Arial" w:cs="Arial"/>
          <w:sz w:val="23"/>
          <w:szCs w:val="23"/>
          <w:lang w:val="fr-FR"/>
        </w:rPr>
        <w:t xml:space="preserve">Mali et </w:t>
      </w:r>
      <w:r w:rsidR="00E86116">
        <w:rPr>
          <w:rFonts w:ascii="Arial" w:hAnsi="Arial" w:cs="Arial"/>
          <w:sz w:val="23"/>
          <w:szCs w:val="23"/>
          <w:lang w:val="fr-FR"/>
        </w:rPr>
        <w:t xml:space="preserve">le </w:t>
      </w:r>
      <w:r w:rsidRPr="00E26088">
        <w:rPr>
          <w:rFonts w:ascii="Arial" w:hAnsi="Arial" w:cs="Arial"/>
          <w:sz w:val="23"/>
          <w:szCs w:val="23"/>
          <w:lang w:val="fr-FR"/>
        </w:rPr>
        <w:t xml:space="preserve">Sénégal. </w:t>
      </w:r>
    </w:p>
    <w:p w14:paraId="16845985" w14:textId="77777777" w:rsidR="00640AFB" w:rsidRDefault="00A91E71" w:rsidP="00A66673">
      <w:pPr>
        <w:rPr>
          <w:b/>
          <w:sz w:val="28"/>
          <w:szCs w:val="28"/>
          <w:lang w:val="fr-FR"/>
        </w:rPr>
      </w:pPr>
      <w:r w:rsidRPr="00A91E71">
        <w:rPr>
          <w:b/>
          <w:sz w:val="28"/>
          <w:szCs w:val="28"/>
          <w:lang w:val="fr-FR"/>
        </w:rPr>
        <w:t xml:space="preserve">Les domaines d’investigation </w:t>
      </w:r>
    </w:p>
    <w:p w14:paraId="6E6B0746" w14:textId="77777777" w:rsidR="00A91E71" w:rsidRDefault="00A91E71" w:rsidP="00A66673">
      <w:pPr>
        <w:rPr>
          <w:b/>
          <w:sz w:val="28"/>
          <w:szCs w:val="28"/>
          <w:lang w:val="fr-FR"/>
        </w:rPr>
      </w:pPr>
      <w:r>
        <w:rPr>
          <w:b/>
          <w:sz w:val="28"/>
          <w:szCs w:val="28"/>
          <w:lang w:val="fr-FR"/>
        </w:rPr>
        <w:t>Tâches et Responsabilités du Consultant</w:t>
      </w:r>
    </w:p>
    <w:p w14:paraId="1B02FEF8" w14:textId="77777777" w:rsidR="00A91E71" w:rsidRPr="0031453E" w:rsidRDefault="00A91E71" w:rsidP="00A91E71">
      <w:pPr>
        <w:pStyle w:val="ListParagraph"/>
        <w:numPr>
          <w:ilvl w:val="0"/>
          <w:numId w:val="3"/>
        </w:numPr>
        <w:jc w:val="both"/>
        <w:rPr>
          <w:rFonts w:ascii="Arial" w:hAnsi="Arial" w:cs="Arial"/>
          <w:sz w:val="23"/>
          <w:szCs w:val="23"/>
          <w:lang w:val="fr-FR"/>
        </w:rPr>
      </w:pPr>
      <w:r w:rsidRPr="0031453E">
        <w:rPr>
          <w:rFonts w:ascii="Arial" w:hAnsi="Arial" w:cs="Arial"/>
          <w:sz w:val="23"/>
          <w:szCs w:val="23"/>
          <w:lang w:val="fr-FR"/>
        </w:rPr>
        <w:t>une cartographie des ressources disponibles en matières premières et de leur potentiel (coût et volume/rendement) par rapport aux besoins de production de capacité bioénergétique (calibrée en fonction de la demande de produits bioénergétiques)</w:t>
      </w:r>
      <w:r>
        <w:rPr>
          <w:rFonts w:ascii="Arial" w:hAnsi="Arial" w:cs="Arial"/>
          <w:sz w:val="23"/>
          <w:szCs w:val="23"/>
          <w:lang w:val="fr-FR"/>
        </w:rPr>
        <w:t> </w:t>
      </w:r>
      <w:r w:rsidRPr="0031453E">
        <w:rPr>
          <w:rFonts w:ascii="Arial" w:hAnsi="Arial" w:cs="Arial"/>
          <w:sz w:val="23"/>
          <w:szCs w:val="23"/>
          <w:lang w:val="fr-FR"/>
        </w:rPr>
        <w:t>;</w:t>
      </w:r>
    </w:p>
    <w:p w14:paraId="5CFC315B" w14:textId="77777777" w:rsidR="00A91E71" w:rsidRPr="0031453E" w:rsidRDefault="00A91E71" w:rsidP="00A91E71">
      <w:pPr>
        <w:pStyle w:val="ListParagraph"/>
        <w:numPr>
          <w:ilvl w:val="0"/>
          <w:numId w:val="3"/>
        </w:numPr>
        <w:jc w:val="both"/>
        <w:rPr>
          <w:rFonts w:ascii="Arial" w:hAnsi="Arial" w:cs="Arial"/>
          <w:sz w:val="23"/>
          <w:szCs w:val="23"/>
          <w:lang w:val="fr-FR"/>
        </w:rPr>
      </w:pPr>
      <w:r>
        <w:rPr>
          <w:rFonts w:ascii="Arial" w:hAnsi="Arial" w:cs="Arial"/>
          <w:sz w:val="23"/>
          <w:szCs w:val="23"/>
          <w:lang w:val="fr-FR"/>
        </w:rPr>
        <w:t>u</w:t>
      </w:r>
      <w:r w:rsidRPr="0031453E">
        <w:rPr>
          <w:rFonts w:ascii="Arial" w:hAnsi="Arial" w:cs="Arial"/>
          <w:sz w:val="23"/>
          <w:szCs w:val="23"/>
          <w:lang w:val="fr-FR"/>
        </w:rPr>
        <w:t>ne analyse de l'évolution actuelle et potentielle de la demande de produits et services bioénergétiques</w:t>
      </w:r>
      <w:r>
        <w:rPr>
          <w:rFonts w:ascii="Arial" w:hAnsi="Arial" w:cs="Arial"/>
          <w:sz w:val="23"/>
          <w:szCs w:val="23"/>
          <w:lang w:val="fr-FR"/>
        </w:rPr>
        <w:t> </w:t>
      </w:r>
      <w:r w:rsidRPr="0031453E">
        <w:rPr>
          <w:rFonts w:ascii="Arial" w:hAnsi="Arial" w:cs="Arial"/>
          <w:sz w:val="23"/>
          <w:szCs w:val="23"/>
          <w:lang w:val="fr-FR"/>
        </w:rPr>
        <w:t>;</w:t>
      </w:r>
    </w:p>
    <w:p w14:paraId="51FE51EA" w14:textId="77777777" w:rsidR="00A91E71" w:rsidRDefault="00A91E71" w:rsidP="00A91E71">
      <w:pPr>
        <w:pStyle w:val="ListParagraph"/>
        <w:numPr>
          <w:ilvl w:val="0"/>
          <w:numId w:val="3"/>
        </w:numPr>
        <w:jc w:val="both"/>
        <w:rPr>
          <w:rFonts w:ascii="Arial" w:hAnsi="Arial" w:cs="Arial"/>
          <w:sz w:val="23"/>
          <w:szCs w:val="23"/>
          <w:lang w:val="fr-FR"/>
        </w:rPr>
      </w:pPr>
      <w:r>
        <w:rPr>
          <w:rFonts w:ascii="Arial" w:hAnsi="Arial" w:cs="Arial"/>
          <w:sz w:val="23"/>
          <w:szCs w:val="23"/>
          <w:lang w:val="fr-FR"/>
        </w:rPr>
        <w:t>u</w:t>
      </w:r>
      <w:r w:rsidRPr="0031453E">
        <w:rPr>
          <w:rFonts w:ascii="Arial" w:hAnsi="Arial" w:cs="Arial"/>
          <w:sz w:val="23"/>
          <w:szCs w:val="23"/>
          <w:lang w:val="fr-FR"/>
        </w:rPr>
        <w:t>n recensement des technologies de conversion bioénergétique existantes et potentielles et des mécanismes pour stimuler l'offre</w:t>
      </w:r>
      <w:r>
        <w:rPr>
          <w:rFonts w:ascii="Arial" w:hAnsi="Arial" w:cs="Arial"/>
          <w:sz w:val="23"/>
          <w:szCs w:val="23"/>
          <w:lang w:val="fr-FR"/>
        </w:rPr>
        <w:t> </w:t>
      </w:r>
      <w:r w:rsidRPr="0031453E">
        <w:rPr>
          <w:rFonts w:ascii="Arial" w:hAnsi="Arial" w:cs="Arial"/>
          <w:sz w:val="23"/>
          <w:szCs w:val="23"/>
          <w:lang w:val="fr-FR"/>
        </w:rPr>
        <w:t>;</w:t>
      </w:r>
    </w:p>
    <w:p w14:paraId="24996064" w14:textId="77777777" w:rsidR="00A91E71" w:rsidRPr="0031453E" w:rsidRDefault="00A91E71" w:rsidP="00A91E71">
      <w:pPr>
        <w:pStyle w:val="ListParagraph"/>
        <w:numPr>
          <w:ilvl w:val="0"/>
          <w:numId w:val="3"/>
        </w:numPr>
        <w:jc w:val="both"/>
        <w:rPr>
          <w:rFonts w:ascii="Arial" w:hAnsi="Arial" w:cs="Arial"/>
          <w:sz w:val="23"/>
          <w:szCs w:val="23"/>
          <w:lang w:val="fr-FR"/>
        </w:rPr>
      </w:pPr>
      <w:r>
        <w:rPr>
          <w:rFonts w:ascii="Arial" w:hAnsi="Arial" w:cs="Arial"/>
          <w:sz w:val="23"/>
          <w:szCs w:val="23"/>
          <w:lang w:val="fr-FR"/>
        </w:rPr>
        <w:t>un recensement des expertises requises et de celles existantes pour mener à bien ce développement de la bioénergie, ainsi que du déficit de formation à combler ;</w:t>
      </w:r>
    </w:p>
    <w:p w14:paraId="2B13A2C3" w14:textId="77777777" w:rsidR="00A91E71" w:rsidRPr="0031453E" w:rsidRDefault="00A91E71" w:rsidP="00A91E71">
      <w:pPr>
        <w:pStyle w:val="ListParagraph"/>
        <w:numPr>
          <w:ilvl w:val="0"/>
          <w:numId w:val="3"/>
        </w:numPr>
        <w:jc w:val="both"/>
        <w:rPr>
          <w:rFonts w:ascii="Arial" w:hAnsi="Arial" w:cs="Arial"/>
          <w:sz w:val="23"/>
          <w:szCs w:val="23"/>
          <w:lang w:val="fr-FR"/>
        </w:rPr>
      </w:pPr>
      <w:r>
        <w:rPr>
          <w:rFonts w:ascii="Arial" w:hAnsi="Arial" w:cs="Arial"/>
          <w:sz w:val="23"/>
          <w:szCs w:val="23"/>
          <w:lang w:val="fr-FR"/>
        </w:rPr>
        <w:t>u</w:t>
      </w:r>
      <w:r w:rsidRPr="0031453E">
        <w:rPr>
          <w:rFonts w:ascii="Arial" w:hAnsi="Arial" w:cs="Arial"/>
          <w:sz w:val="23"/>
          <w:szCs w:val="23"/>
          <w:lang w:val="fr-FR"/>
        </w:rPr>
        <w:t xml:space="preserve">ne analyse d'impact économique, </w:t>
      </w:r>
      <w:r w:rsidRPr="00912966">
        <w:rPr>
          <w:rFonts w:ascii="Arial" w:hAnsi="Arial" w:cs="Arial"/>
          <w:sz w:val="23"/>
          <w:szCs w:val="23"/>
          <w:lang w:val="fr-FR"/>
        </w:rPr>
        <w:t>financier</w:t>
      </w:r>
      <w:r>
        <w:rPr>
          <w:rFonts w:ascii="Arial" w:hAnsi="Arial" w:cs="Arial"/>
          <w:sz w:val="23"/>
          <w:szCs w:val="23"/>
          <w:lang w:val="fr-FR"/>
        </w:rPr>
        <w:t>,</w:t>
      </w:r>
      <w:r w:rsidRPr="00912966">
        <w:rPr>
          <w:rFonts w:ascii="Arial" w:hAnsi="Arial" w:cs="Arial"/>
          <w:sz w:val="23"/>
          <w:szCs w:val="23"/>
          <w:lang w:val="fr-FR"/>
        </w:rPr>
        <w:t xml:space="preserve"> </w:t>
      </w:r>
      <w:r w:rsidRPr="0031453E">
        <w:rPr>
          <w:rFonts w:ascii="Arial" w:hAnsi="Arial" w:cs="Arial"/>
          <w:sz w:val="23"/>
          <w:szCs w:val="23"/>
          <w:lang w:val="fr-FR"/>
        </w:rPr>
        <w:t>social et environnemental des différentes options basées sur l'utilisation des matières premières les plus prometteuses</w:t>
      </w:r>
      <w:r>
        <w:rPr>
          <w:rFonts w:ascii="Arial" w:hAnsi="Arial" w:cs="Arial"/>
          <w:sz w:val="23"/>
          <w:szCs w:val="23"/>
          <w:lang w:val="fr-FR"/>
        </w:rPr>
        <w:t> </w:t>
      </w:r>
      <w:r w:rsidRPr="0031453E">
        <w:rPr>
          <w:rFonts w:ascii="Arial" w:hAnsi="Arial" w:cs="Arial"/>
          <w:sz w:val="23"/>
          <w:szCs w:val="23"/>
          <w:lang w:val="fr-FR"/>
        </w:rPr>
        <w:t xml:space="preserve">; </w:t>
      </w:r>
    </w:p>
    <w:p w14:paraId="2B57E2CA" w14:textId="77777777" w:rsidR="00A91E71" w:rsidRDefault="00A91E71" w:rsidP="00A91E71">
      <w:pPr>
        <w:pStyle w:val="ListParagraph"/>
        <w:numPr>
          <w:ilvl w:val="0"/>
          <w:numId w:val="3"/>
        </w:numPr>
        <w:jc w:val="both"/>
        <w:rPr>
          <w:rFonts w:ascii="Arial" w:hAnsi="Arial" w:cs="Arial"/>
          <w:sz w:val="23"/>
          <w:szCs w:val="23"/>
          <w:lang w:val="fr-FR"/>
        </w:rPr>
      </w:pPr>
      <w:r>
        <w:rPr>
          <w:rFonts w:ascii="Arial" w:hAnsi="Arial" w:cs="Arial"/>
          <w:sz w:val="23"/>
          <w:szCs w:val="23"/>
          <w:lang w:val="fr-FR"/>
        </w:rPr>
        <w:t>u</w:t>
      </w:r>
      <w:r w:rsidRPr="0031453E">
        <w:rPr>
          <w:rFonts w:ascii="Arial" w:hAnsi="Arial" w:cs="Arial"/>
          <w:sz w:val="23"/>
          <w:szCs w:val="23"/>
          <w:lang w:val="fr-FR"/>
        </w:rPr>
        <w:t>ne analyse des modèles d'affaires les plus viables à promouvoir et à reproduire dans</w:t>
      </w:r>
      <w:r>
        <w:rPr>
          <w:rFonts w:ascii="Arial" w:hAnsi="Arial" w:cs="Arial"/>
          <w:sz w:val="23"/>
          <w:szCs w:val="23"/>
          <w:lang w:val="fr-FR"/>
        </w:rPr>
        <w:t xml:space="preserve"> </w:t>
      </w:r>
      <w:r w:rsidRPr="0031453E">
        <w:rPr>
          <w:rFonts w:ascii="Arial" w:hAnsi="Arial" w:cs="Arial"/>
          <w:sz w:val="23"/>
          <w:szCs w:val="23"/>
          <w:lang w:val="fr-FR"/>
        </w:rPr>
        <w:t>les États membres de l'UEMOA</w:t>
      </w:r>
      <w:r>
        <w:rPr>
          <w:rFonts w:ascii="Arial" w:hAnsi="Arial" w:cs="Arial"/>
          <w:sz w:val="23"/>
          <w:szCs w:val="23"/>
          <w:lang w:val="fr-FR"/>
        </w:rPr>
        <w:t xml:space="preserve"> et dans la sous-région</w:t>
      </w:r>
      <w:r w:rsidRPr="0031453E">
        <w:rPr>
          <w:rFonts w:ascii="Arial" w:hAnsi="Arial" w:cs="Arial"/>
          <w:sz w:val="23"/>
          <w:szCs w:val="23"/>
          <w:lang w:val="fr-FR"/>
        </w:rPr>
        <w:t xml:space="preserve">. </w:t>
      </w:r>
    </w:p>
    <w:p w14:paraId="0B7AEBE5" w14:textId="77777777" w:rsidR="00E86116" w:rsidRDefault="00E86116" w:rsidP="00E86116">
      <w:pPr>
        <w:pStyle w:val="ListParagraph"/>
        <w:ind w:left="360"/>
        <w:jc w:val="both"/>
        <w:rPr>
          <w:rFonts w:ascii="Arial" w:hAnsi="Arial" w:cs="Arial"/>
          <w:sz w:val="23"/>
          <w:szCs w:val="23"/>
          <w:lang w:val="fr-FR"/>
        </w:rPr>
      </w:pPr>
    </w:p>
    <w:p w14:paraId="65A431F4" w14:textId="7D7DBED3" w:rsidR="00A91E71" w:rsidRPr="00E86116" w:rsidRDefault="00A91E71" w:rsidP="00E86116">
      <w:pPr>
        <w:jc w:val="both"/>
        <w:rPr>
          <w:rFonts w:ascii="Arial" w:hAnsi="Arial" w:cs="Arial"/>
          <w:b/>
          <w:sz w:val="23"/>
          <w:szCs w:val="23"/>
          <w:lang w:val="fr-FR"/>
        </w:rPr>
      </w:pPr>
      <w:r w:rsidRPr="00E86116">
        <w:rPr>
          <w:rFonts w:ascii="Arial" w:hAnsi="Arial" w:cs="Arial"/>
          <w:b/>
          <w:sz w:val="23"/>
          <w:szCs w:val="23"/>
          <w:lang w:val="fr-FR"/>
        </w:rPr>
        <w:t>Rapports/documents à fournir</w:t>
      </w:r>
    </w:p>
    <w:p w14:paraId="671D3DEC" w14:textId="77777777" w:rsidR="00A91E71" w:rsidRPr="00A91E71" w:rsidRDefault="00A91E71" w:rsidP="00A91E71">
      <w:pPr>
        <w:pStyle w:val="ListParagraph"/>
        <w:numPr>
          <w:ilvl w:val="0"/>
          <w:numId w:val="3"/>
        </w:numPr>
        <w:jc w:val="both"/>
        <w:rPr>
          <w:rFonts w:ascii="Arial" w:hAnsi="Arial" w:cs="Arial"/>
          <w:sz w:val="23"/>
          <w:szCs w:val="23"/>
          <w:lang w:val="fr-FR"/>
        </w:rPr>
      </w:pPr>
      <w:r w:rsidRPr="00A91E71">
        <w:rPr>
          <w:rFonts w:ascii="Arial" w:hAnsi="Arial" w:cs="Arial"/>
          <w:sz w:val="23"/>
          <w:szCs w:val="23"/>
          <w:lang w:val="fr-FR"/>
        </w:rPr>
        <w:t>Le Consultant transmettra les différents rapports/documents conformément au calendrier d'exécution des services dans les formats suivants :</w:t>
      </w:r>
    </w:p>
    <w:p w14:paraId="67DD703B" w14:textId="34FED906" w:rsidR="00A91E71" w:rsidRPr="00A91E71" w:rsidRDefault="00A91E71" w:rsidP="00E86116">
      <w:pPr>
        <w:pStyle w:val="ListParagraph"/>
        <w:ind w:left="360"/>
        <w:jc w:val="both"/>
        <w:rPr>
          <w:rFonts w:ascii="Arial" w:hAnsi="Arial" w:cs="Arial"/>
          <w:sz w:val="23"/>
          <w:szCs w:val="23"/>
          <w:lang w:val="fr-FR"/>
        </w:rPr>
      </w:pPr>
      <w:r w:rsidRPr="00A91E71">
        <w:rPr>
          <w:rFonts w:ascii="Arial" w:hAnsi="Arial" w:cs="Arial"/>
          <w:sz w:val="23"/>
          <w:szCs w:val="23"/>
          <w:lang w:val="fr-FR"/>
        </w:rPr>
        <w:t>1 - Le rapport de démarrage (livré 3 semaines après l'attribution du contr</w:t>
      </w:r>
      <w:r w:rsidR="00E86116">
        <w:rPr>
          <w:rFonts w:ascii="Arial" w:hAnsi="Arial" w:cs="Arial"/>
          <w:sz w:val="23"/>
          <w:szCs w:val="23"/>
          <w:lang w:val="fr-FR"/>
        </w:rPr>
        <w:t>at) - le rapport doit être transmis par la voie</w:t>
      </w:r>
      <w:r w:rsidRPr="00A91E71">
        <w:rPr>
          <w:rFonts w:ascii="Arial" w:hAnsi="Arial" w:cs="Arial"/>
          <w:sz w:val="23"/>
          <w:szCs w:val="23"/>
          <w:lang w:val="fr-FR"/>
        </w:rPr>
        <w:t xml:space="preserve"> électronique</w:t>
      </w:r>
      <w:r w:rsidR="00E86116">
        <w:rPr>
          <w:rFonts w:ascii="Arial" w:hAnsi="Arial" w:cs="Arial"/>
          <w:sz w:val="23"/>
          <w:szCs w:val="23"/>
          <w:lang w:val="fr-FR"/>
        </w:rPr>
        <w:t> :</w:t>
      </w:r>
      <w:r w:rsidRPr="00A91E71">
        <w:rPr>
          <w:rFonts w:ascii="Arial" w:hAnsi="Arial" w:cs="Arial"/>
          <w:sz w:val="23"/>
          <w:szCs w:val="23"/>
          <w:lang w:val="fr-FR"/>
        </w:rPr>
        <w:t xml:space="preserve"> Le rapport de démarrage devrait réviser/mettre à jour le plan de travail et la méthodologie proposés sur la base des contributions et des amendements reçus du Comité d'examen technique.  </w:t>
      </w:r>
    </w:p>
    <w:p w14:paraId="35277E0C" w14:textId="77777777" w:rsidR="00A91E71" w:rsidRPr="00A91E71" w:rsidRDefault="00A91E71" w:rsidP="00E86116">
      <w:pPr>
        <w:pStyle w:val="ListParagraph"/>
        <w:ind w:left="360"/>
        <w:jc w:val="both"/>
        <w:rPr>
          <w:rFonts w:ascii="Arial" w:hAnsi="Arial" w:cs="Arial"/>
          <w:sz w:val="23"/>
          <w:szCs w:val="23"/>
          <w:lang w:val="fr-FR"/>
        </w:rPr>
      </w:pPr>
      <w:r w:rsidRPr="00A91E71">
        <w:rPr>
          <w:rFonts w:ascii="Arial" w:hAnsi="Arial" w:cs="Arial"/>
          <w:sz w:val="23"/>
          <w:szCs w:val="23"/>
          <w:lang w:val="fr-FR"/>
        </w:rPr>
        <w:t xml:space="preserve">2- Le rapport d'étape (livré 12 semaines après l'attribution du marché) après l'exécution de la mission dans les États membres sous forme électronique, version Word (la plus récente possible), Arial 12. </w:t>
      </w:r>
    </w:p>
    <w:p w14:paraId="471B5A71" w14:textId="7D32FC7F" w:rsidR="00A91E71" w:rsidRPr="00A91E71" w:rsidRDefault="00E86116" w:rsidP="00A91E71">
      <w:pPr>
        <w:pStyle w:val="ListParagraph"/>
        <w:numPr>
          <w:ilvl w:val="0"/>
          <w:numId w:val="3"/>
        </w:numPr>
        <w:jc w:val="both"/>
        <w:rPr>
          <w:rFonts w:ascii="Arial" w:hAnsi="Arial" w:cs="Arial"/>
          <w:sz w:val="23"/>
          <w:szCs w:val="23"/>
          <w:lang w:val="fr-FR"/>
        </w:rPr>
      </w:pPr>
      <w:r>
        <w:rPr>
          <w:rFonts w:ascii="Arial" w:hAnsi="Arial" w:cs="Arial"/>
          <w:sz w:val="23"/>
          <w:szCs w:val="23"/>
          <w:lang w:val="fr-FR"/>
        </w:rPr>
        <w:t>3- Le</w:t>
      </w:r>
      <w:r w:rsidR="00A91E71" w:rsidRPr="00A91E71">
        <w:rPr>
          <w:rFonts w:ascii="Arial" w:hAnsi="Arial" w:cs="Arial"/>
          <w:sz w:val="23"/>
          <w:szCs w:val="23"/>
          <w:lang w:val="fr-FR"/>
        </w:rPr>
        <w:t xml:space="preserve"> rapport </w:t>
      </w:r>
      <w:r>
        <w:rPr>
          <w:rFonts w:ascii="Arial" w:hAnsi="Arial" w:cs="Arial"/>
          <w:sz w:val="23"/>
          <w:szCs w:val="23"/>
          <w:lang w:val="fr-FR"/>
        </w:rPr>
        <w:t xml:space="preserve">final provisoire </w:t>
      </w:r>
      <w:r w:rsidR="00A91E71" w:rsidRPr="00A91E71">
        <w:rPr>
          <w:rFonts w:ascii="Arial" w:hAnsi="Arial" w:cs="Arial"/>
          <w:sz w:val="23"/>
          <w:szCs w:val="23"/>
          <w:lang w:val="fr-FR"/>
        </w:rPr>
        <w:t>(20 semaines après l'attribution du contrat) sous forme électronique, version Word (la plus récente possible), Arial 12.</w:t>
      </w:r>
    </w:p>
    <w:p w14:paraId="0B1B1FD5" w14:textId="2EB44522" w:rsidR="00A91E71" w:rsidRPr="004F5B8A" w:rsidRDefault="00A91E71" w:rsidP="00A91E71">
      <w:pPr>
        <w:pStyle w:val="ListParagraph"/>
        <w:numPr>
          <w:ilvl w:val="0"/>
          <w:numId w:val="3"/>
        </w:numPr>
        <w:jc w:val="both"/>
        <w:rPr>
          <w:rFonts w:ascii="Arial" w:hAnsi="Arial" w:cs="Arial"/>
          <w:sz w:val="23"/>
          <w:szCs w:val="23"/>
          <w:lang w:val="fr-FR"/>
        </w:rPr>
      </w:pPr>
      <w:r w:rsidRPr="00A91E71">
        <w:rPr>
          <w:rFonts w:ascii="Arial" w:hAnsi="Arial" w:cs="Arial"/>
          <w:sz w:val="23"/>
          <w:szCs w:val="23"/>
          <w:lang w:val="fr-FR"/>
        </w:rPr>
        <w:t xml:space="preserve">4- Le rapport final (4 semaines après l'atelier de validation), tenant compte des observations et des amendements résultant de la tenue de l'atelier régional de validation en format électronique, version Word (la plus récente possible), Arial 12, et en format papier en trente (30) exemplaires. </w:t>
      </w:r>
    </w:p>
    <w:p w14:paraId="2AA0F08B" w14:textId="69079175" w:rsidR="00A91E71" w:rsidRPr="002A7520" w:rsidRDefault="00A91E71" w:rsidP="00E86116">
      <w:pPr>
        <w:contextualSpacing/>
        <w:jc w:val="both"/>
        <w:rPr>
          <w:rFonts w:ascii="Arial" w:hAnsi="Arial" w:cs="Arial"/>
          <w:spacing w:val="-2"/>
          <w:sz w:val="23"/>
          <w:szCs w:val="23"/>
          <w:lang w:val="fr-FR"/>
        </w:rPr>
      </w:pPr>
      <w:r w:rsidRPr="00A91E71">
        <w:rPr>
          <w:rFonts w:ascii="Arial" w:hAnsi="Arial" w:cs="Arial"/>
          <w:spacing w:val="-2"/>
          <w:sz w:val="23"/>
          <w:szCs w:val="23"/>
          <w:lang w:val="fr-FR"/>
        </w:rPr>
        <w:t>L’Agence de Développement de l’Union Africaine invite les cabinets de consultants éligibles à manifester leur intér</w:t>
      </w:r>
      <w:r w:rsidR="00863A4A">
        <w:rPr>
          <w:rFonts w:ascii="Arial" w:hAnsi="Arial" w:cs="Arial"/>
          <w:spacing w:val="-2"/>
          <w:sz w:val="23"/>
          <w:szCs w:val="23"/>
          <w:lang w:val="fr-FR"/>
        </w:rPr>
        <w:t xml:space="preserve">êt pour </w:t>
      </w:r>
      <w:r>
        <w:rPr>
          <w:rFonts w:ascii="Arial" w:hAnsi="Arial" w:cs="Arial"/>
          <w:spacing w:val="-2"/>
          <w:sz w:val="23"/>
          <w:szCs w:val="23"/>
          <w:lang w:val="fr-FR"/>
        </w:rPr>
        <w:t xml:space="preserve">cette prestation de services. </w:t>
      </w:r>
      <w:r w:rsidR="002A7520" w:rsidRPr="002A7520">
        <w:rPr>
          <w:rFonts w:ascii="Arial" w:hAnsi="Arial" w:cs="Arial"/>
          <w:spacing w:val="-2"/>
          <w:sz w:val="23"/>
          <w:szCs w:val="23"/>
          <w:lang w:val="fr-FR"/>
        </w:rPr>
        <w:t>Les candidats intéressés devront fournir l</w:t>
      </w:r>
      <w:r w:rsidR="002A7520">
        <w:rPr>
          <w:rFonts w:ascii="Arial" w:hAnsi="Arial" w:cs="Arial"/>
          <w:spacing w:val="-2"/>
          <w:sz w:val="23"/>
          <w:szCs w:val="23"/>
          <w:lang w:val="fr-FR"/>
        </w:rPr>
        <w:t>es informations montrant qu’ils ont les qualifications et l’expérience requises</w:t>
      </w:r>
      <w:r w:rsidR="00863A4A">
        <w:rPr>
          <w:rFonts w:ascii="Arial" w:hAnsi="Arial" w:cs="Arial"/>
          <w:spacing w:val="-2"/>
          <w:sz w:val="23"/>
          <w:szCs w:val="23"/>
          <w:lang w:val="fr-FR"/>
        </w:rPr>
        <w:t xml:space="preserve"> pour assurer cette prestation.</w:t>
      </w:r>
    </w:p>
    <w:p w14:paraId="4DB324B2" w14:textId="201557F2" w:rsidR="00A91E71" w:rsidRPr="002A7520" w:rsidRDefault="002A7520" w:rsidP="00E86116">
      <w:pPr>
        <w:contextualSpacing/>
        <w:jc w:val="both"/>
        <w:rPr>
          <w:rFonts w:ascii="Arial" w:hAnsi="Arial" w:cs="Arial"/>
          <w:spacing w:val="-2"/>
          <w:sz w:val="23"/>
          <w:szCs w:val="23"/>
          <w:lang w:val="fr-FR"/>
        </w:rPr>
      </w:pPr>
      <w:r w:rsidRPr="002A7520">
        <w:rPr>
          <w:rFonts w:ascii="Arial" w:hAnsi="Arial" w:cs="Arial"/>
          <w:spacing w:val="-2"/>
          <w:sz w:val="23"/>
          <w:szCs w:val="23"/>
          <w:lang w:val="fr-FR"/>
        </w:rPr>
        <w:t xml:space="preserve">Les </w:t>
      </w:r>
      <w:r>
        <w:rPr>
          <w:rFonts w:ascii="Arial" w:hAnsi="Arial" w:cs="Arial"/>
          <w:spacing w:val="-2"/>
          <w:sz w:val="23"/>
          <w:szCs w:val="23"/>
          <w:lang w:val="fr-FR"/>
        </w:rPr>
        <w:t>piè</w:t>
      </w:r>
      <w:r w:rsidRPr="002A7520">
        <w:rPr>
          <w:rFonts w:ascii="Arial" w:hAnsi="Arial" w:cs="Arial"/>
          <w:spacing w:val="-2"/>
          <w:sz w:val="23"/>
          <w:szCs w:val="23"/>
          <w:lang w:val="fr-FR"/>
        </w:rPr>
        <w:t xml:space="preserve">ces suivantes doivent être fournies: </w:t>
      </w:r>
    </w:p>
    <w:p w14:paraId="6C9393AF" w14:textId="37B30581" w:rsidR="00A91E71" w:rsidRPr="002A7520" w:rsidRDefault="002A7520" w:rsidP="00E86116">
      <w:pPr>
        <w:numPr>
          <w:ilvl w:val="0"/>
          <w:numId w:val="4"/>
        </w:numPr>
        <w:tabs>
          <w:tab w:val="left" w:pos="284"/>
        </w:tabs>
        <w:suppressAutoHyphens/>
        <w:spacing w:after="0" w:line="240" w:lineRule="auto"/>
        <w:contextualSpacing/>
        <w:jc w:val="both"/>
        <w:rPr>
          <w:rFonts w:ascii="Arial" w:hAnsi="Arial" w:cs="Arial"/>
          <w:spacing w:val="-2"/>
          <w:sz w:val="23"/>
          <w:szCs w:val="23"/>
          <w:lang w:val="fr-FR"/>
        </w:rPr>
      </w:pPr>
      <w:r>
        <w:rPr>
          <w:rFonts w:ascii="Arial" w:hAnsi="Arial" w:cs="Arial"/>
          <w:spacing w:val="-2"/>
          <w:sz w:val="23"/>
          <w:szCs w:val="23"/>
          <w:lang w:val="fr-FR"/>
        </w:rPr>
        <w:t xml:space="preserve">Une lettre officielle signée par l’autorité compétente exprimant l’intérêt du Cabinet à participer à cette consultation ; </w:t>
      </w:r>
    </w:p>
    <w:p w14:paraId="7495844D" w14:textId="001383D4" w:rsidR="00A91E71" w:rsidRPr="002A7520" w:rsidRDefault="00863A4A" w:rsidP="00E86116">
      <w:pPr>
        <w:numPr>
          <w:ilvl w:val="0"/>
          <w:numId w:val="4"/>
        </w:numPr>
        <w:tabs>
          <w:tab w:val="left" w:pos="284"/>
        </w:tabs>
        <w:suppressAutoHyphens/>
        <w:spacing w:after="0" w:line="240" w:lineRule="auto"/>
        <w:contextualSpacing/>
        <w:jc w:val="both"/>
        <w:rPr>
          <w:rFonts w:ascii="Arial" w:hAnsi="Arial" w:cs="Arial"/>
          <w:spacing w:val="-2"/>
          <w:sz w:val="23"/>
          <w:szCs w:val="23"/>
          <w:lang w:val="fr-FR"/>
        </w:rPr>
      </w:pPr>
      <w:r>
        <w:rPr>
          <w:rFonts w:ascii="Arial" w:hAnsi="Arial" w:cs="Arial"/>
          <w:spacing w:val="-2"/>
          <w:sz w:val="23"/>
          <w:szCs w:val="23"/>
          <w:lang w:val="fr-FR"/>
        </w:rPr>
        <w:t xml:space="preserve">Une description du </w:t>
      </w:r>
      <w:r w:rsidR="002A7520" w:rsidRPr="002A7520">
        <w:rPr>
          <w:rFonts w:ascii="Arial" w:hAnsi="Arial" w:cs="Arial"/>
          <w:spacing w:val="-2"/>
          <w:sz w:val="23"/>
          <w:szCs w:val="23"/>
          <w:lang w:val="fr-FR"/>
        </w:rPr>
        <w:t xml:space="preserve">profil général et </w:t>
      </w:r>
      <w:r>
        <w:rPr>
          <w:rFonts w:ascii="Arial" w:hAnsi="Arial" w:cs="Arial"/>
          <w:spacing w:val="-2"/>
          <w:sz w:val="23"/>
          <w:szCs w:val="23"/>
          <w:lang w:val="fr-FR"/>
        </w:rPr>
        <w:t xml:space="preserve">de </w:t>
      </w:r>
      <w:r w:rsidR="002A7520" w:rsidRPr="002A7520">
        <w:rPr>
          <w:rFonts w:ascii="Arial" w:hAnsi="Arial" w:cs="Arial"/>
          <w:spacing w:val="-2"/>
          <w:sz w:val="23"/>
          <w:szCs w:val="23"/>
          <w:lang w:val="fr-FR"/>
        </w:rPr>
        <w:t>l’expérience du Cabinet dans les domain</w:t>
      </w:r>
      <w:r w:rsidR="009F4F27">
        <w:rPr>
          <w:rFonts w:ascii="Arial" w:hAnsi="Arial" w:cs="Arial"/>
          <w:spacing w:val="-2"/>
          <w:sz w:val="23"/>
          <w:szCs w:val="23"/>
          <w:lang w:val="fr-FR"/>
        </w:rPr>
        <w:t>e</w:t>
      </w:r>
      <w:r w:rsidR="002A7520" w:rsidRPr="002A7520">
        <w:rPr>
          <w:rFonts w:ascii="Arial" w:hAnsi="Arial" w:cs="Arial"/>
          <w:spacing w:val="-2"/>
          <w:sz w:val="23"/>
          <w:szCs w:val="23"/>
          <w:lang w:val="fr-FR"/>
        </w:rPr>
        <w:t xml:space="preserve">s suivants; </w:t>
      </w:r>
    </w:p>
    <w:p w14:paraId="17D639F8" w14:textId="77777777" w:rsidR="002A7520" w:rsidRDefault="002A7520" w:rsidP="00E86116">
      <w:pPr>
        <w:numPr>
          <w:ilvl w:val="1"/>
          <w:numId w:val="4"/>
        </w:numPr>
        <w:tabs>
          <w:tab w:val="left" w:pos="284"/>
        </w:tabs>
        <w:suppressAutoHyphens/>
        <w:spacing w:after="0" w:line="240" w:lineRule="auto"/>
        <w:contextualSpacing/>
        <w:jc w:val="both"/>
        <w:rPr>
          <w:rFonts w:ascii="Arial" w:hAnsi="Arial" w:cs="Arial"/>
          <w:spacing w:val="-2"/>
          <w:sz w:val="23"/>
          <w:szCs w:val="23"/>
        </w:rPr>
      </w:pPr>
      <w:r w:rsidRPr="002A7520">
        <w:rPr>
          <w:rFonts w:ascii="Arial" w:hAnsi="Arial" w:cs="Arial"/>
          <w:spacing w:val="-2"/>
          <w:sz w:val="23"/>
          <w:szCs w:val="23"/>
        </w:rPr>
        <w:t xml:space="preserve">Activité principale du Cabinet; </w:t>
      </w:r>
    </w:p>
    <w:p w14:paraId="7DF9659C" w14:textId="0B128513" w:rsidR="00A91E71" w:rsidRPr="002A7520" w:rsidRDefault="002A7520" w:rsidP="00E86116">
      <w:pPr>
        <w:numPr>
          <w:ilvl w:val="1"/>
          <w:numId w:val="4"/>
        </w:numPr>
        <w:tabs>
          <w:tab w:val="left" w:pos="284"/>
        </w:tabs>
        <w:suppressAutoHyphens/>
        <w:spacing w:after="0" w:line="240" w:lineRule="auto"/>
        <w:contextualSpacing/>
        <w:jc w:val="both"/>
        <w:rPr>
          <w:rFonts w:ascii="Arial" w:hAnsi="Arial" w:cs="Arial"/>
          <w:spacing w:val="-2"/>
          <w:sz w:val="23"/>
          <w:szCs w:val="23"/>
          <w:lang w:val="fr-FR"/>
        </w:rPr>
      </w:pPr>
      <w:r w:rsidRPr="002A7520">
        <w:rPr>
          <w:rFonts w:ascii="Arial" w:hAnsi="Arial" w:cs="Arial"/>
          <w:spacing w:val="-2"/>
          <w:sz w:val="23"/>
          <w:szCs w:val="23"/>
          <w:lang w:val="fr-FR"/>
        </w:rPr>
        <w:lastRenderedPageBreak/>
        <w:t>Noms des représentants légaux du Cabinet (</w:t>
      </w:r>
      <w:r w:rsidR="00A91E71" w:rsidRPr="002A7520">
        <w:rPr>
          <w:rFonts w:ascii="Arial" w:hAnsi="Arial" w:cs="Arial"/>
          <w:spacing w:val="-2"/>
          <w:sz w:val="23"/>
          <w:szCs w:val="23"/>
          <w:lang w:val="fr-FR"/>
        </w:rPr>
        <w:t>Po</w:t>
      </w:r>
      <w:r w:rsidR="009F4F27">
        <w:rPr>
          <w:rFonts w:ascii="Arial" w:hAnsi="Arial" w:cs="Arial"/>
          <w:spacing w:val="-2"/>
          <w:sz w:val="23"/>
          <w:szCs w:val="23"/>
          <w:lang w:val="fr-FR"/>
        </w:rPr>
        <w:t>uvoir juridique</w:t>
      </w:r>
      <w:r w:rsidR="00A91E71" w:rsidRPr="002A7520">
        <w:rPr>
          <w:rFonts w:ascii="Arial" w:hAnsi="Arial" w:cs="Arial"/>
          <w:spacing w:val="-2"/>
          <w:sz w:val="23"/>
          <w:szCs w:val="23"/>
          <w:lang w:val="fr-FR"/>
        </w:rPr>
        <w:t>).</w:t>
      </w:r>
    </w:p>
    <w:p w14:paraId="63BC1432" w14:textId="5DFC50A3" w:rsidR="00A91E71" w:rsidRPr="009F4F27" w:rsidRDefault="009F4F27" w:rsidP="00E86116">
      <w:pPr>
        <w:numPr>
          <w:ilvl w:val="1"/>
          <w:numId w:val="4"/>
        </w:numPr>
        <w:tabs>
          <w:tab w:val="left" w:pos="284"/>
        </w:tabs>
        <w:suppressAutoHyphens/>
        <w:spacing w:after="0" w:line="240" w:lineRule="auto"/>
        <w:contextualSpacing/>
        <w:jc w:val="both"/>
        <w:rPr>
          <w:rFonts w:ascii="Arial" w:hAnsi="Arial" w:cs="Arial"/>
          <w:spacing w:val="-2"/>
          <w:sz w:val="23"/>
          <w:szCs w:val="23"/>
          <w:lang w:val="fr-FR"/>
        </w:rPr>
      </w:pPr>
      <w:r>
        <w:rPr>
          <w:rFonts w:ascii="Arial" w:hAnsi="Arial" w:cs="Arial"/>
          <w:spacing w:val="-2"/>
          <w:sz w:val="23"/>
          <w:szCs w:val="23"/>
          <w:lang w:val="fr-FR"/>
        </w:rPr>
        <w:t xml:space="preserve">En cas de </w:t>
      </w:r>
      <w:r w:rsidR="00A91E71" w:rsidRPr="009F4F27">
        <w:rPr>
          <w:rFonts w:ascii="Arial" w:hAnsi="Arial" w:cs="Arial"/>
          <w:spacing w:val="-2"/>
          <w:sz w:val="23"/>
          <w:szCs w:val="23"/>
          <w:lang w:val="fr-FR"/>
        </w:rPr>
        <w:t>Consortiums/Part</w:t>
      </w:r>
      <w:r w:rsidRPr="009F4F27">
        <w:rPr>
          <w:rFonts w:ascii="Arial" w:hAnsi="Arial" w:cs="Arial"/>
          <w:spacing w:val="-2"/>
          <w:sz w:val="23"/>
          <w:szCs w:val="23"/>
          <w:lang w:val="fr-FR"/>
        </w:rPr>
        <w:t xml:space="preserve">enariats/Associations; il sera </w:t>
      </w:r>
      <w:r w:rsidR="00863A4A">
        <w:rPr>
          <w:rFonts w:ascii="Arial" w:hAnsi="Arial" w:cs="Arial"/>
          <w:spacing w:val="-2"/>
          <w:sz w:val="23"/>
          <w:szCs w:val="23"/>
          <w:lang w:val="fr-FR"/>
        </w:rPr>
        <w:t>né</w:t>
      </w:r>
      <w:r w:rsidRPr="009F4F27">
        <w:rPr>
          <w:rFonts w:ascii="Arial" w:hAnsi="Arial" w:cs="Arial"/>
          <w:spacing w:val="-2"/>
          <w:sz w:val="23"/>
          <w:szCs w:val="23"/>
          <w:lang w:val="fr-FR"/>
        </w:rPr>
        <w:t xml:space="preserve">cessaire de </w:t>
      </w:r>
      <w:r>
        <w:rPr>
          <w:rFonts w:ascii="Arial" w:hAnsi="Arial" w:cs="Arial"/>
          <w:spacing w:val="-2"/>
          <w:sz w:val="23"/>
          <w:szCs w:val="23"/>
          <w:lang w:val="fr-FR"/>
        </w:rPr>
        <w:t xml:space="preserve">présenter une Convention de Collaboration précisant l’identité du Cabinet tête de file ; </w:t>
      </w:r>
    </w:p>
    <w:p w14:paraId="7EF55355" w14:textId="7169261B" w:rsidR="009F4F27" w:rsidRPr="009F4F27" w:rsidRDefault="009F4F27" w:rsidP="00E86116">
      <w:pPr>
        <w:numPr>
          <w:ilvl w:val="0"/>
          <w:numId w:val="4"/>
        </w:numPr>
        <w:tabs>
          <w:tab w:val="left" w:pos="284"/>
        </w:tabs>
        <w:suppressAutoHyphens/>
        <w:spacing w:after="0" w:line="240" w:lineRule="auto"/>
        <w:contextualSpacing/>
        <w:jc w:val="both"/>
        <w:rPr>
          <w:rFonts w:ascii="Arial" w:hAnsi="Arial" w:cs="Arial"/>
          <w:spacing w:val="-2"/>
          <w:sz w:val="23"/>
          <w:szCs w:val="23"/>
          <w:lang w:val="fr-FR"/>
        </w:rPr>
      </w:pPr>
      <w:r w:rsidRPr="009F4F27">
        <w:rPr>
          <w:rFonts w:ascii="Arial" w:hAnsi="Arial" w:cs="Arial"/>
          <w:spacing w:val="-2"/>
          <w:sz w:val="23"/>
          <w:szCs w:val="23"/>
          <w:lang w:val="fr-FR"/>
        </w:rPr>
        <w:t>Un registre de commerce et un certificat d’inscription au registre des impôts ainsi qu’un</w:t>
      </w:r>
      <w:r w:rsidR="00863A4A">
        <w:rPr>
          <w:rFonts w:ascii="Arial" w:hAnsi="Arial" w:cs="Arial"/>
          <w:spacing w:val="-2"/>
          <w:sz w:val="23"/>
          <w:szCs w:val="23"/>
          <w:lang w:val="fr-FR"/>
        </w:rPr>
        <w:t>e</w:t>
      </w:r>
      <w:r w:rsidRPr="009F4F27">
        <w:rPr>
          <w:rFonts w:ascii="Arial" w:hAnsi="Arial" w:cs="Arial"/>
          <w:spacing w:val="-2"/>
          <w:sz w:val="23"/>
          <w:szCs w:val="23"/>
          <w:lang w:val="fr-FR"/>
        </w:rPr>
        <w:t xml:space="preserve"> certification de </w:t>
      </w:r>
      <w:r w:rsidR="00863A4A">
        <w:rPr>
          <w:rFonts w:ascii="Arial" w:hAnsi="Arial" w:cs="Arial"/>
          <w:spacing w:val="-2"/>
          <w:sz w:val="23"/>
          <w:szCs w:val="23"/>
          <w:lang w:val="fr-FR"/>
        </w:rPr>
        <w:t xml:space="preserve">paiement de </w:t>
      </w:r>
      <w:r w:rsidRPr="009F4F27">
        <w:rPr>
          <w:rFonts w:ascii="Arial" w:hAnsi="Arial" w:cs="Arial"/>
          <w:spacing w:val="-2"/>
          <w:sz w:val="23"/>
          <w:szCs w:val="23"/>
          <w:lang w:val="fr-FR"/>
        </w:rPr>
        <w:t>taxes;</w:t>
      </w:r>
      <w:r>
        <w:rPr>
          <w:rFonts w:ascii="Arial" w:hAnsi="Arial" w:cs="Arial"/>
          <w:spacing w:val="-2"/>
          <w:sz w:val="23"/>
          <w:szCs w:val="23"/>
          <w:lang w:val="fr-FR"/>
        </w:rPr>
        <w:t xml:space="preserve"> </w:t>
      </w:r>
    </w:p>
    <w:p w14:paraId="0E5D881B" w14:textId="7299D07F" w:rsidR="00A91E71" w:rsidRPr="009F4F27" w:rsidRDefault="009F4F27" w:rsidP="00E86116">
      <w:pPr>
        <w:numPr>
          <w:ilvl w:val="0"/>
          <w:numId w:val="4"/>
        </w:numPr>
        <w:tabs>
          <w:tab w:val="left" w:pos="284"/>
        </w:tabs>
        <w:suppressAutoHyphens/>
        <w:spacing w:after="0" w:line="240" w:lineRule="auto"/>
        <w:contextualSpacing/>
        <w:jc w:val="both"/>
        <w:rPr>
          <w:rFonts w:ascii="Arial" w:hAnsi="Arial" w:cs="Arial"/>
          <w:spacing w:val="-2"/>
          <w:sz w:val="23"/>
          <w:szCs w:val="23"/>
          <w:lang w:val="fr-FR"/>
        </w:rPr>
      </w:pPr>
      <w:r>
        <w:rPr>
          <w:rFonts w:ascii="Arial" w:hAnsi="Arial" w:cs="Arial"/>
          <w:spacing w:val="-2"/>
          <w:sz w:val="23"/>
          <w:szCs w:val="23"/>
          <w:lang w:val="fr-FR"/>
        </w:rPr>
        <w:t xml:space="preserve">Une preuve de l’expérience </w:t>
      </w:r>
      <w:r w:rsidR="00863A4A">
        <w:rPr>
          <w:rFonts w:ascii="Arial" w:hAnsi="Arial" w:cs="Arial"/>
          <w:spacing w:val="-2"/>
          <w:sz w:val="23"/>
          <w:szCs w:val="23"/>
          <w:lang w:val="fr-FR"/>
        </w:rPr>
        <w:t>antérieure du C</w:t>
      </w:r>
      <w:r>
        <w:rPr>
          <w:rFonts w:ascii="Arial" w:hAnsi="Arial" w:cs="Arial"/>
          <w:spacing w:val="-2"/>
          <w:sz w:val="23"/>
          <w:szCs w:val="23"/>
          <w:lang w:val="fr-FR"/>
        </w:rPr>
        <w:t xml:space="preserve">abinet </w:t>
      </w:r>
      <w:r w:rsidR="00863A4A">
        <w:rPr>
          <w:rFonts w:ascii="Arial" w:hAnsi="Arial" w:cs="Arial"/>
          <w:spacing w:val="-2"/>
          <w:sz w:val="23"/>
          <w:szCs w:val="23"/>
          <w:lang w:val="fr-FR"/>
        </w:rPr>
        <w:t>sur la réalisation d’</w:t>
      </w:r>
      <w:r>
        <w:rPr>
          <w:rFonts w:ascii="Arial" w:hAnsi="Arial" w:cs="Arial"/>
          <w:spacing w:val="-2"/>
          <w:sz w:val="23"/>
          <w:szCs w:val="23"/>
          <w:lang w:val="fr-FR"/>
        </w:rPr>
        <w:t xml:space="preserve">études comparables ; et </w:t>
      </w:r>
    </w:p>
    <w:p w14:paraId="353B1F0B" w14:textId="468CE242" w:rsidR="00A91E71" w:rsidRPr="009F4F27" w:rsidRDefault="009F4F27" w:rsidP="00E86116">
      <w:pPr>
        <w:numPr>
          <w:ilvl w:val="0"/>
          <w:numId w:val="4"/>
        </w:numPr>
        <w:tabs>
          <w:tab w:val="left" w:pos="284"/>
        </w:tabs>
        <w:suppressAutoHyphens/>
        <w:spacing w:after="0" w:line="240" w:lineRule="auto"/>
        <w:contextualSpacing/>
        <w:jc w:val="both"/>
        <w:rPr>
          <w:rFonts w:ascii="Arial" w:hAnsi="Arial" w:cs="Arial"/>
          <w:spacing w:val="-2"/>
          <w:sz w:val="23"/>
          <w:szCs w:val="23"/>
          <w:lang w:val="fr-FR"/>
        </w:rPr>
      </w:pPr>
      <w:r w:rsidRPr="009F4F27">
        <w:rPr>
          <w:rFonts w:ascii="Arial" w:hAnsi="Arial" w:cs="Arial"/>
          <w:spacing w:val="-2"/>
          <w:sz w:val="23"/>
          <w:szCs w:val="23"/>
          <w:lang w:val="fr-FR"/>
        </w:rPr>
        <w:t>La disponibilité d’un personnel qualifié avec une</w:t>
      </w:r>
      <w:r>
        <w:rPr>
          <w:rFonts w:ascii="Arial" w:hAnsi="Arial" w:cs="Arial"/>
          <w:spacing w:val="-2"/>
          <w:sz w:val="23"/>
          <w:szCs w:val="23"/>
          <w:lang w:val="fr-FR"/>
        </w:rPr>
        <w:t xml:space="preserve"> expé</w:t>
      </w:r>
      <w:r w:rsidR="00A91E71" w:rsidRPr="009F4F27">
        <w:rPr>
          <w:rFonts w:ascii="Arial" w:hAnsi="Arial" w:cs="Arial"/>
          <w:spacing w:val="-2"/>
          <w:sz w:val="23"/>
          <w:szCs w:val="23"/>
          <w:lang w:val="fr-FR"/>
        </w:rPr>
        <w:t xml:space="preserve">rience </w:t>
      </w:r>
      <w:r>
        <w:rPr>
          <w:rFonts w:ascii="Arial" w:hAnsi="Arial" w:cs="Arial"/>
          <w:spacing w:val="-2"/>
          <w:sz w:val="23"/>
          <w:szCs w:val="23"/>
          <w:lang w:val="fr-FR"/>
        </w:rPr>
        <w:t xml:space="preserve">dans les domaines de référence. </w:t>
      </w:r>
      <w:r w:rsidRPr="004F5B8A">
        <w:rPr>
          <w:rFonts w:ascii="Arial" w:hAnsi="Arial" w:cs="Arial"/>
          <w:spacing w:val="-2"/>
          <w:sz w:val="23"/>
          <w:szCs w:val="23"/>
          <w:lang w:val="fr-FR"/>
        </w:rPr>
        <w:t>Les principaux experts devront avoir une bonne maîtrise du français à la fois écrit et parlé;</w:t>
      </w:r>
      <w:r w:rsidRPr="009F4F27">
        <w:rPr>
          <w:rFonts w:ascii="Arial" w:hAnsi="Arial" w:cs="Arial"/>
          <w:spacing w:val="-2"/>
          <w:sz w:val="23"/>
          <w:szCs w:val="23"/>
          <w:lang w:val="fr-FR"/>
        </w:rPr>
        <w:t xml:space="preserve"> </w:t>
      </w:r>
      <w:r w:rsidR="00A91E71" w:rsidRPr="009F4F27">
        <w:rPr>
          <w:rFonts w:ascii="Arial" w:hAnsi="Arial" w:cs="Arial"/>
          <w:spacing w:val="-2"/>
          <w:sz w:val="23"/>
          <w:szCs w:val="23"/>
          <w:lang w:val="fr-FR"/>
        </w:rPr>
        <w:t xml:space="preserve"> </w:t>
      </w:r>
    </w:p>
    <w:p w14:paraId="3822BB6B" w14:textId="77777777" w:rsidR="00A91E71" w:rsidRPr="009F4F27" w:rsidRDefault="00A91E71" w:rsidP="00A91E71">
      <w:pPr>
        <w:contextualSpacing/>
        <w:rPr>
          <w:rFonts w:ascii="Arial" w:hAnsi="Arial" w:cs="Arial"/>
          <w:spacing w:val="-2"/>
          <w:sz w:val="23"/>
          <w:szCs w:val="23"/>
          <w:lang w:val="fr-FR"/>
        </w:rPr>
      </w:pPr>
    </w:p>
    <w:p w14:paraId="277CCA38" w14:textId="2DC4283A" w:rsidR="00A91E71" w:rsidRPr="009F4F27" w:rsidRDefault="009F4F27" w:rsidP="004F5B8A">
      <w:pPr>
        <w:contextualSpacing/>
        <w:jc w:val="both"/>
        <w:rPr>
          <w:rFonts w:ascii="Arial" w:hAnsi="Arial" w:cs="Arial"/>
          <w:bCs/>
          <w:spacing w:val="-2"/>
          <w:sz w:val="23"/>
          <w:szCs w:val="23"/>
          <w:lang w:val="en-US"/>
        </w:rPr>
      </w:pPr>
      <w:r w:rsidRPr="009F4F27">
        <w:rPr>
          <w:rFonts w:ascii="Arial" w:hAnsi="Arial" w:cs="Arial"/>
          <w:b/>
          <w:spacing w:val="-2"/>
          <w:sz w:val="23"/>
          <w:szCs w:val="23"/>
          <w:lang w:val="fr-FR"/>
        </w:rPr>
        <w:t>Délai d’</w:t>
      </w:r>
      <w:r w:rsidR="00796F92">
        <w:rPr>
          <w:rFonts w:ascii="Arial" w:hAnsi="Arial" w:cs="Arial"/>
          <w:b/>
          <w:spacing w:val="-2"/>
          <w:sz w:val="23"/>
          <w:szCs w:val="23"/>
          <w:lang w:val="fr-FR"/>
        </w:rPr>
        <w:t>exécution et de soumission</w:t>
      </w:r>
      <w:r w:rsidRPr="009F4F27">
        <w:rPr>
          <w:rFonts w:ascii="Arial" w:hAnsi="Arial" w:cs="Arial"/>
          <w:b/>
          <w:spacing w:val="-2"/>
          <w:sz w:val="23"/>
          <w:szCs w:val="23"/>
          <w:lang w:val="fr-FR"/>
        </w:rPr>
        <w:t xml:space="preserve"> des </w:t>
      </w:r>
      <w:r w:rsidR="00796F92">
        <w:rPr>
          <w:rFonts w:ascii="Arial" w:hAnsi="Arial" w:cs="Arial"/>
          <w:b/>
          <w:spacing w:val="-2"/>
          <w:sz w:val="23"/>
          <w:szCs w:val="23"/>
          <w:lang w:val="fr-FR"/>
        </w:rPr>
        <w:t>rapports</w:t>
      </w:r>
      <w:r w:rsidRPr="009F4F27">
        <w:rPr>
          <w:rFonts w:ascii="Arial" w:hAnsi="Arial" w:cs="Arial"/>
          <w:b/>
          <w:spacing w:val="-2"/>
          <w:sz w:val="23"/>
          <w:szCs w:val="23"/>
          <w:lang w:val="fr-FR"/>
        </w:rPr>
        <w:t xml:space="preserve"> : </w:t>
      </w:r>
      <w:r w:rsidRPr="009F4F27">
        <w:rPr>
          <w:rFonts w:ascii="Arial" w:hAnsi="Arial" w:cs="Arial"/>
          <w:spacing w:val="-2"/>
          <w:sz w:val="23"/>
          <w:szCs w:val="23"/>
          <w:lang w:val="fr-FR"/>
        </w:rPr>
        <w:t xml:space="preserve">La durée de </w:t>
      </w:r>
      <w:r>
        <w:rPr>
          <w:rFonts w:ascii="Arial" w:hAnsi="Arial" w:cs="Arial"/>
          <w:spacing w:val="-2"/>
          <w:sz w:val="23"/>
          <w:szCs w:val="23"/>
          <w:lang w:val="fr-FR"/>
        </w:rPr>
        <w:t xml:space="preserve">la consultation est de </w:t>
      </w:r>
      <w:r w:rsidR="00796F92">
        <w:rPr>
          <w:rFonts w:ascii="Arial" w:hAnsi="Arial" w:cs="Arial"/>
          <w:spacing w:val="-2"/>
          <w:sz w:val="23"/>
          <w:szCs w:val="23"/>
          <w:lang w:val="fr-FR"/>
        </w:rPr>
        <w:t xml:space="preserve">6 mois.  Le Cabinet devra rendre compte à l’Administrateur de Programme Principal en charge de la bioénergie au sein de l’Agence de Développement de l’Union Africaine – NEPAD. </w:t>
      </w:r>
    </w:p>
    <w:p w14:paraId="796691B8" w14:textId="77777777" w:rsidR="00A91E71" w:rsidRPr="000C595A" w:rsidRDefault="00A91E71" w:rsidP="004F5B8A">
      <w:pPr>
        <w:contextualSpacing/>
        <w:jc w:val="both"/>
        <w:rPr>
          <w:rFonts w:ascii="Arial" w:hAnsi="Arial" w:cs="Arial"/>
          <w:b/>
          <w:spacing w:val="-2"/>
          <w:sz w:val="23"/>
          <w:szCs w:val="23"/>
        </w:rPr>
      </w:pPr>
    </w:p>
    <w:p w14:paraId="14C5F105" w14:textId="693B6AAF" w:rsidR="00796F92" w:rsidRPr="00AD133C" w:rsidRDefault="00796F92" w:rsidP="004F5B8A">
      <w:pPr>
        <w:contextualSpacing/>
        <w:jc w:val="both"/>
        <w:rPr>
          <w:rFonts w:ascii="Arial" w:hAnsi="Arial" w:cs="Arial"/>
          <w:color w:val="000000"/>
          <w:sz w:val="23"/>
          <w:szCs w:val="23"/>
          <w:lang w:val="fr-FR"/>
        </w:rPr>
      </w:pPr>
      <w:r w:rsidRPr="00796F92">
        <w:rPr>
          <w:rFonts w:ascii="Arial" w:hAnsi="Arial" w:cs="Arial"/>
          <w:color w:val="000000"/>
          <w:sz w:val="23"/>
          <w:szCs w:val="23"/>
          <w:lang w:val="fr-FR"/>
        </w:rPr>
        <w:t xml:space="preserve">Des consultants </w:t>
      </w:r>
      <w:r w:rsidR="00863A4A">
        <w:rPr>
          <w:rFonts w:ascii="Arial" w:hAnsi="Arial" w:cs="Arial"/>
          <w:color w:val="000000"/>
          <w:sz w:val="23"/>
          <w:szCs w:val="23"/>
          <w:lang w:val="fr-FR"/>
        </w:rPr>
        <w:t xml:space="preserve">individuels </w:t>
      </w:r>
      <w:r w:rsidRPr="00796F92">
        <w:rPr>
          <w:rFonts w:ascii="Arial" w:hAnsi="Arial" w:cs="Arial"/>
          <w:color w:val="000000"/>
          <w:sz w:val="23"/>
          <w:szCs w:val="23"/>
          <w:lang w:val="fr-FR"/>
        </w:rPr>
        <w:t>peuvent s’associer à d</w:t>
      </w:r>
      <w:r w:rsidR="00AD133C">
        <w:rPr>
          <w:rFonts w:ascii="Arial" w:hAnsi="Arial" w:cs="Arial"/>
          <w:color w:val="000000"/>
          <w:sz w:val="23"/>
          <w:szCs w:val="23"/>
          <w:lang w:val="fr-FR"/>
        </w:rPr>
        <w:t>es Cabinets sous la forme de joint-ventures or de sous-trai</w:t>
      </w:r>
      <w:r w:rsidRPr="00796F92">
        <w:rPr>
          <w:rFonts w:ascii="Arial" w:hAnsi="Arial" w:cs="Arial"/>
          <w:color w:val="000000"/>
          <w:sz w:val="23"/>
          <w:szCs w:val="23"/>
          <w:lang w:val="fr-FR"/>
        </w:rPr>
        <w:t xml:space="preserve">tants pour améliorer leurs qualifications. </w:t>
      </w:r>
      <w:r>
        <w:rPr>
          <w:rFonts w:ascii="Arial" w:hAnsi="Arial" w:cs="Arial"/>
          <w:color w:val="000000"/>
          <w:sz w:val="23"/>
          <w:szCs w:val="23"/>
          <w:lang w:val="fr-FR"/>
        </w:rPr>
        <w:t xml:space="preserve">Les Cabinets des pays membres de l’Union Africaine et/ou les joint-ventures seront </w:t>
      </w:r>
      <w:r w:rsidR="00AD133C">
        <w:rPr>
          <w:rFonts w:ascii="Arial" w:hAnsi="Arial" w:cs="Arial"/>
          <w:color w:val="000000"/>
          <w:sz w:val="23"/>
          <w:szCs w:val="23"/>
          <w:lang w:val="fr-FR"/>
        </w:rPr>
        <w:t xml:space="preserve">privilégiés. </w:t>
      </w:r>
    </w:p>
    <w:p w14:paraId="208A7D55" w14:textId="1091B73C" w:rsidR="00A91E71" w:rsidRPr="00AD133C" w:rsidRDefault="00AD133C" w:rsidP="004F5B8A">
      <w:pPr>
        <w:contextualSpacing/>
        <w:jc w:val="both"/>
        <w:rPr>
          <w:rFonts w:ascii="Arial" w:hAnsi="Arial" w:cs="Arial"/>
          <w:color w:val="000000"/>
          <w:sz w:val="23"/>
          <w:szCs w:val="23"/>
          <w:lang w:val="fr-FR"/>
        </w:rPr>
      </w:pPr>
      <w:r w:rsidRPr="00AD133C">
        <w:rPr>
          <w:rFonts w:ascii="Arial" w:hAnsi="Arial" w:cs="Arial"/>
          <w:color w:val="000000"/>
          <w:sz w:val="23"/>
          <w:szCs w:val="23"/>
          <w:lang w:val="fr-FR"/>
        </w:rPr>
        <w:t>Le</w:t>
      </w:r>
      <w:r w:rsidR="00A91E71" w:rsidRPr="00AD133C">
        <w:rPr>
          <w:rFonts w:ascii="Arial" w:hAnsi="Arial" w:cs="Arial"/>
          <w:color w:val="000000"/>
          <w:sz w:val="23"/>
          <w:szCs w:val="23"/>
          <w:lang w:val="fr-FR"/>
        </w:rPr>
        <w:t xml:space="preserve"> Consultant </w:t>
      </w:r>
      <w:r w:rsidR="008300B0">
        <w:rPr>
          <w:rFonts w:ascii="Arial" w:hAnsi="Arial" w:cs="Arial"/>
          <w:color w:val="000000"/>
          <w:sz w:val="23"/>
          <w:szCs w:val="23"/>
          <w:lang w:val="fr-FR"/>
        </w:rPr>
        <w:t>sera sé</w:t>
      </w:r>
      <w:r>
        <w:rPr>
          <w:rFonts w:ascii="Arial" w:hAnsi="Arial" w:cs="Arial"/>
          <w:color w:val="000000"/>
          <w:sz w:val="23"/>
          <w:szCs w:val="23"/>
          <w:lang w:val="fr-FR"/>
        </w:rPr>
        <w:t>lectionné</w:t>
      </w:r>
      <w:r w:rsidRPr="00AD133C">
        <w:rPr>
          <w:rFonts w:ascii="Arial" w:hAnsi="Arial" w:cs="Arial"/>
          <w:color w:val="000000"/>
          <w:sz w:val="23"/>
          <w:szCs w:val="23"/>
          <w:lang w:val="fr-FR"/>
        </w:rPr>
        <w:t xml:space="preserve"> s</w:t>
      </w:r>
      <w:r>
        <w:rPr>
          <w:rFonts w:ascii="Arial" w:hAnsi="Arial" w:cs="Arial"/>
          <w:color w:val="000000"/>
          <w:sz w:val="23"/>
          <w:szCs w:val="23"/>
          <w:lang w:val="fr-FR"/>
        </w:rPr>
        <w:t>elon la méthode basé</w:t>
      </w:r>
      <w:r w:rsidRPr="00AD133C">
        <w:rPr>
          <w:rFonts w:ascii="Arial" w:hAnsi="Arial" w:cs="Arial"/>
          <w:color w:val="000000"/>
          <w:sz w:val="23"/>
          <w:szCs w:val="23"/>
          <w:lang w:val="fr-FR"/>
        </w:rPr>
        <w:t>e sur la Qualit</w:t>
      </w:r>
      <w:r>
        <w:rPr>
          <w:rFonts w:ascii="Arial" w:hAnsi="Arial" w:cs="Arial"/>
          <w:color w:val="000000"/>
          <w:sz w:val="23"/>
          <w:szCs w:val="23"/>
          <w:lang w:val="fr-FR"/>
        </w:rPr>
        <w:t>é et</w:t>
      </w:r>
      <w:r w:rsidRPr="00AD133C">
        <w:rPr>
          <w:rFonts w:ascii="Arial" w:hAnsi="Arial" w:cs="Arial"/>
          <w:color w:val="000000"/>
          <w:sz w:val="23"/>
          <w:szCs w:val="23"/>
          <w:lang w:val="fr-FR"/>
        </w:rPr>
        <w:t xml:space="preserve"> le</w:t>
      </w:r>
      <w:r>
        <w:rPr>
          <w:rFonts w:ascii="Arial" w:hAnsi="Arial" w:cs="Arial"/>
          <w:color w:val="000000"/>
          <w:sz w:val="23"/>
          <w:szCs w:val="23"/>
          <w:lang w:val="fr-FR"/>
        </w:rPr>
        <w:t xml:space="preserve"> Coû</w:t>
      </w:r>
      <w:r w:rsidRPr="00AD133C">
        <w:rPr>
          <w:rFonts w:ascii="Arial" w:hAnsi="Arial" w:cs="Arial"/>
          <w:color w:val="000000"/>
          <w:sz w:val="23"/>
          <w:szCs w:val="23"/>
          <w:lang w:val="fr-FR"/>
        </w:rPr>
        <w:t>t</w:t>
      </w:r>
      <w:r w:rsidR="008300B0">
        <w:rPr>
          <w:rFonts w:ascii="Arial" w:hAnsi="Arial" w:cs="Arial"/>
          <w:color w:val="000000"/>
          <w:sz w:val="23"/>
          <w:szCs w:val="23"/>
          <w:lang w:val="fr-FR"/>
        </w:rPr>
        <w:t>,</w:t>
      </w:r>
      <w:r w:rsidRPr="00AD133C">
        <w:rPr>
          <w:rFonts w:ascii="Arial" w:hAnsi="Arial" w:cs="Arial"/>
          <w:color w:val="000000"/>
          <w:sz w:val="23"/>
          <w:szCs w:val="23"/>
          <w:lang w:val="fr-FR"/>
        </w:rPr>
        <w:t xml:space="preserve"> </w:t>
      </w:r>
      <w:r>
        <w:rPr>
          <w:rFonts w:ascii="Arial" w:hAnsi="Arial" w:cs="Arial"/>
          <w:color w:val="000000"/>
          <w:sz w:val="23"/>
          <w:szCs w:val="23"/>
          <w:lang w:val="fr-FR"/>
        </w:rPr>
        <w:t xml:space="preserve">définie selon </w:t>
      </w:r>
      <w:r w:rsidRPr="00AD133C">
        <w:rPr>
          <w:rFonts w:ascii="Arial" w:hAnsi="Arial" w:cs="Arial"/>
          <w:color w:val="000000"/>
          <w:sz w:val="23"/>
          <w:szCs w:val="23"/>
          <w:lang w:val="fr-FR"/>
        </w:rPr>
        <w:t xml:space="preserve">les directives de procédures d’achat de l’Union Africaine. </w:t>
      </w:r>
      <w:r w:rsidR="00A91E71" w:rsidRPr="00AD133C">
        <w:rPr>
          <w:rFonts w:ascii="Arial" w:hAnsi="Arial" w:cs="Arial"/>
          <w:color w:val="000000"/>
          <w:sz w:val="23"/>
          <w:szCs w:val="23"/>
          <w:lang w:val="fr-FR"/>
        </w:rPr>
        <w:t xml:space="preserve"> </w:t>
      </w:r>
    </w:p>
    <w:p w14:paraId="7BF6E99C" w14:textId="77777777" w:rsidR="00A91E71" w:rsidRPr="00AD133C" w:rsidRDefault="00A91E71" w:rsidP="004F5B8A">
      <w:pPr>
        <w:contextualSpacing/>
        <w:jc w:val="both"/>
        <w:rPr>
          <w:rFonts w:ascii="Arial" w:hAnsi="Arial" w:cs="Arial"/>
          <w:color w:val="000000"/>
          <w:sz w:val="23"/>
          <w:szCs w:val="23"/>
          <w:lang w:val="fr-FR"/>
        </w:rPr>
      </w:pPr>
    </w:p>
    <w:p w14:paraId="4A6D0DAB" w14:textId="7DF98A4B" w:rsidR="00A91E71" w:rsidRPr="00AD133C" w:rsidRDefault="00AD133C" w:rsidP="004F5B8A">
      <w:pPr>
        <w:spacing w:before="120" w:line="276" w:lineRule="auto"/>
        <w:jc w:val="both"/>
        <w:rPr>
          <w:rFonts w:ascii="Arial" w:hAnsi="Arial" w:cs="Arial"/>
          <w:b/>
          <w:color w:val="000000"/>
          <w:sz w:val="23"/>
          <w:szCs w:val="23"/>
          <w:lang w:val="fr-FR"/>
        </w:rPr>
      </w:pPr>
      <w:r w:rsidRPr="00AD133C">
        <w:rPr>
          <w:rFonts w:ascii="Arial" w:hAnsi="Arial" w:cs="Arial"/>
          <w:b/>
          <w:color w:val="000000"/>
          <w:sz w:val="23"/>
          <w:szCs w:val="23"/>
          <w:lang w:val="fr-FR"/>
        </w:rPr>
        <w:t xml:space="preserve">Ceci est un appel à manifestation d’intérêt </w:t>
      </w:r>
      <w:r>
        <w:rPr>
          <w:rFonts w:ascii="Arial" w:hAnsi="Arial" w:cs="Arial"/>
          <w:b/>
          <w:color w:val="000000"/>
          <w:sz w:val="23"/>
          <w:szCs w:val="23"/>
          <w:lang w:val="fr-FR"/>
        </w:rPr>
        <w:t>uniquement. L</w:t>
      </w:r>
      <w:r w:rsidRPr="00AD133C">
        <w:rPr>
          <w:rFonts w:ascii="Arial" w:hAnsi="Arial" w:cs="Arial"/>
          <w:b/>
          <w:color w:val="000000"/>
          <w:sz w:val="23"/>
          <w:szCs w:val="23"/>
          <w:lang w:val="fr-FR"/>
        </w:rPr>
        <w:t>a soumission de propositions financières n’</w:t>
      </w:r>
      <w:r w:rsidR="00863A4A">
        <w:rPr>
          <w:rFonts w:ascii="Arial" w:hAnsi="Arial" w:cs="Arial"/>
          <w:b/>
          <w:color w:val="000000"/>
          <w:sz w:val="23"/>
          <w:szCs w:val="23"/>
          <w:lang w:val="fr-FR"/>
        </w:rPr>
        <w:t xml:space="preserve">est pas requise à ce stade </w:t>
      </w:r>
      <w:r w:rsidRPr="00AD133C">
        <w:rPr>
          <w:rFonts w:ascii="Arial" w:hAnsi="Arial" w:cs="Arial"/>
          <w:b/>
          <w:color w:val="000000"/>
          <w:sz w:val="23"/>
          <w:szCs w:val="23"/>
          <w:lang w:val="fr-FR"/>
        </w:rPr>
        <w:t xml:space="preserve">de la </w:t>
      </w:r>
      <w:r>
        <w:rPr>
          <w:rFonts w:ascii="Arial" w:hAnsi="Arial" w:cs="Arial"/>
          <w:b/>
          <w:color w:val="000000"/>
          <w:sz w:val="23"/>
          <w:szCs w:val="23"/>
          <w:lang w:val="fr-FR"/>
        </w:rPr>
        <w:t>procé</w:t>
      </w:r>
      <w:r w:rsidRPr="00AD133C">
        <w:rPr>
          <w:rFonts w:ascii="Arial" w:hAnsi="Arial" w:cs="Arial"/>
          <w:b/>
          <w:color w:val="000000"/>
          <w:sz w:val="23"/>
          <w:szCs w:val="23"/>
          <w:lang w:val="fr-FR"/>
        </w:rPr>
        <w:t xml:space="preserve">dure. </w:t>
      </w:r>
    </w:p>
    <w:p w14:paraId="51826E3F" w14:textId="44FEC2EB" w:rsidR="00A91E71" w:rsidRPr="00AD133C" w:rsidRDefault="00AD133C" w:rsidP="004F5B8A">
      <w:pPr>
        <w:spacing w:before="120" w:line="276" w:lineRule="auto"/>
        <w:jc w:val="both"/>
        <w:rPr>
          <w:rFonts w:ascii="Arial" w:hAnsi="Arial" w:cs="Arial"/>
          <w:color w:val="000000"/>
          <w:sz w:val="23"/>
          <w:szCs w:val="23"/>
          <w:lang w:val="fr-FR"/>
        </w:rPr>
      </w:pPr>
      <w:r w:rsidRPr="00AD133C">
        <w:rPr>
          <w:rFonts w:ascii="Arial" w:hAnsi="Arial" w:cs="Arial"/>
          <w:lang w:val="fr-FR"/>
        </w:rPr>
        <w:t xml:space="preserve">L’Agence de Développement de l’Union Africaine se </w:t>
      </w:r>
      <w:r w:rsidR="008300B0">
        <w:rPr>
          <w:rFonts w:ascii="Arial" w:hAnsi="Arial" w:cs="Arial"/>
          <w:lang w:val="fr-FR"/>
        </w:rPr>
        <w:t>ré</w:t>
      </w:r>
      <w:r w:rsidRPr="00AD133C">
        <w:rPr>
          <w:rFonts w:ascii="Arial" w:hAnsi="Arial" w:cs="Arial"/>
          <w:lang w:val="fr-FR"/>
        </w:rPr>
        <w:t xml:space="preserve">serve le droit de </w:t>
      </w:r>
      <w:r w:rsidR="008300B0">
        <w:rPr>
          <w:rFonts w:ascii="Arial" w:hAnsi="Arial" w:cs="Arial"/>
          <w:lang w:val="fr-FR"/>
        </w:rPr>
        <w:t>vé</w:t>
      </w:r>
      <w:r w:rsidRPr="00AD133C">
        <w:rPr>
          <w:rFonts w:ascii="Arial" w:hAnsi="Arial" w:cs="Arial"/>
          <w:lang w:val="fr-FR"/>
        </w:rPr>
        <w:t xml:space="preserve">rifier toute information fournie </w:t>
      </w:r>
      <w:r>
        <w:rPr>
          <w:rFonts w:ascii="Arial" w:hAnsi="Arial" w:cs="Arial"/>
          <w:lang w:val="fr-FR"/>
        </w:rPr>
        <w:t>par les candidats, ind</w:t>
      </w:r>
      <w:r w:rsidR="008300B0">
        <w:rPr>
          <w:rFonts w:ascii="Arial" w:hAnsi="Arial" w:cs="Arial"/>
          <w:lang w:val="fr-FR"/>
        </w:rPr>
        <w:t>ividuels ou en consortiums. T</w:t>
      </w:r>
      <w:r>
        <w:rPr>
          <w:rFonts w:ascii="Arial" w:hAnsi="Arial" w:cs="Arial"/>
          <w:lang w:val="fr-FR"/>
        </w:rPr>
        <w:t xml:space="preserve">oute fausse information aboutira à une disqualification. L’Agence de Développement se réserve le droit d’annuler ou de rejeter toute manifestation d’intérêt sans avoir à en </w:t>
      </w:r>
      <w:r w:rsidR="0070768B">
        <w:rPr>
          <w:rFonts w:ascii="Arial" w:hAnsi="Arial" w:cs="Arial"/>
          <w:lang w:val="fr-FR"/>
        </w:rPr>
        <w:t xml:space="preserve">fournir </w:t>
      </w:r>
      <w:r>
        <w:rPr>
          <w:rFonts w:ascii="Arial" w:hAnsi="Arial" w:cs="Arial"/>
          <w:lang w:val="fr-FR"/>
        </w:rPr>
        <w:t xml:space="preserve">la raison. </w:t>
      </w:r>
    </w:p>
    <w:p w14:paraId="13CC57F5" w14:textId="1B0E8B72" w:rsidR="00A91E71" w:rsidRPr="0070768B" w:rsidRDefault="0070768B" w:rsidP="004F5B8A">
      <w:pPr>
        <w:contextualSpacing/>
        <w:jc w:val="both"/>
        <w:rPr>
          <w:rFonts w:ascii="Arial" w:hAnsi="Arial" w:cs="Arial"/>
          <w:b/>
          <w:sz w:val="23"/>
          <w:szCs w:val="23"/>
          <w:u w:val="single"/>
          <w:lang w:val="fr-FR"/>
        </w:rPr>
      </w:pPr>
      <w:r w:rsidRPr="0070768B">
        <w:rPr>
          <w:rFonts w:ascii="Arial" w:hAnsi="Arial" w:cs="Arial"/>
          <w:spacing w:val="-2"/>
          <w:sz w:val="23"/>
          <w:szCs w:val="23"/>
          <w:lang w:val="fr-FR"/>
        </w:rPr>
        <w:t>Les manifestations d’intérêt doivent être reçues à l’adres</w:t>
      </w:r>
      <w:r w:rsidR="004F5B8A">
        <w:rPr>
          <w:rFonts w:ascii="Arial" w:hAnsi="Arial" w:cs="Arial"/>
          <w:spacing w:val="-2"/>
          <w:sz w:val="23"/>
          <w:szCs w:val="23"/>
          <w:lang w:val="fr-FR"/>
        </w:rPr>
        <w:t>se ci-dessous au plus tard le 22</w:t>
      </w:r>
      <w:r w:rsidRPr="0070768B">
        <w:rPr>
          <w:rFonts w:ascii="Arial" w:hAnsi="Arial" w:cs="Arial"/>
          <w:spacing w:val="-2"/>
          <w:sz w:val="23"/>
          <w:szCs w:val="23"/>
          <w:lang w:val="fr-FR"/>
        </w:rPr>
        <w:t xml:space="preserve"> octobre</w:t>
      </w:r>
      <w:r w:rsidR="00246BAA">
        <w:rPr>
          <w:rFonts w:ascii="Arial" w:hAnsi="Arial" w:cs="Arial"/>
          <w:spacing w:val="-2"/>
          <w:sz w:val="23"/>
          <w:szCs w:val="23"/>
          <w:lang w:val="fr-FR"/>
        </w:rPr>
        <w:t xml:space="preserve"> 2019</w:t>
      </w:r>
      <w:r w:rsidRPr="0070768B">
        <w:rPr>
          <w:rFonts w:ascii="Arial" w:hAnsi="Arial" w:cs="Arial"/>
          <w:spacing w:val="-2"/>
          <w:sz w:val="23"/>
          <w:szCs w:val="23"/>
          <w:lang w:val="fr-FR"/>
        </w:rPr>
        <w:t xml:space="preserve"> à 14h30, (heure de l’Afrique du Sud); Elles doivent clairement mentionner l’objet de la consultation: </w:t>
      </w:r>
      <w:r w:rsidRPr="0070768B">
        <w:rPr>
          <w:rFonts w:ascii="Arial" w:hAnsi="Arial" w:cs="Arial"/>
          <w:b/>
          <w:spacing w:val="-2"/>
          <w:sz w:val="23"/>
          <w:szCs w:val="23"/>
          <w:lang w:val="fr-FR"/>
        </w:rPr>
        <w:t>SERVICES DE CONSULTATION POUR MENER UNE ETUDE REGIONALE DE FAISABILITE SUR LE DEVELOPPEMENT DE LA BIOENERGIE DANS LA ZONE UEMOA ; REF : 44/NPCA</w:t>
      </w:r>
      <w:r w:rsidR="00A91E71" w:rsidRPr="0070768B">
        <w:rPr>
          <w:rFonts w:ascii="Arial" w:hAnsi="Arial" w:cs="Arial"/>
          <w:b/>
          <w:sz w:val="23"/>
          <w:szCs w:val="23"/>
          <w:u w:val="single"/>
          <w:lang w:val="fr-FR"/>
        </w:rPr>
        <w:t>/NRG/UEMOA/QCBS/2019</w:t>
      </w:r>
      <w:r w:rsidR="00A91E71" w:rsidRPr="0070768B">
        <w:rPr>
          <w:rFonts w:ascii="Arial" w:hAnsi="Arial" w:cs="Arial"/>
          <w:b/>
          <w:i/>
          <w:spacing w:val="-2"/>
          <w:sz w:val="23"/>
          <w:szCs w:val="23"/>
          <w:u w:val="single"/>
          <w:lang w:val="fr-FR"/>
        </w:rPr>
        <w:t>”</w:t>
      </w:r>
      <w:r w:rsidR="00A91E71" w:rsidRPr="0070768B">
        <w:rPr>
          <w:rFonts w:ascii="Arial" w:hAnsi="Arial" w:cs="Arial"/>
          <w:b/>
          <w:sz w:val="23"/>
          <w:szCs w:val="23"/>
          <w:u w:val="single"/>
          <w:lang w:val="fr-FR"/>
        </w:rPr>
        <w:t>.</w:t>
      </w:r>
      <w:r w:rsidR="00A91E71" w:rsidRPr="0070768B">
        <w:rPr>
          <w:rFonts w:ascii="Arial" w:hAnsi="Arial" w:cs="Arial"/>
          <w:b/>
          <w:sz w:val="23"/>
          <w:szCs w:val="23"/>
          <w:lang w:val="fr-FR"/>
        </w:rPr>
        <w:t xml:space="preserve"> </w:t>
      </w:r>
    </w:p>
    <w:p w14:paraId="21570927" w14:textId="77777777" w:rsidR="00A91E71" w:rsidRPr="0070768B" w:rsidRDefault="00A91E71" w:rsidP="004F5B8A">
      <w:pPr>
        <w:contextualSpacing/>
        <w:jc w:val="both"/>
        <w:rPr>
          <w:rFonts w:ascii="Arial" w:hAnsi="Arial" w:cs="Arial"/>
          <w:b/>
          <w:sz w:val="23"/>
          <w:szCs w:val="23"/>
          <w:lang w:val="fr-FR"/>
        </w:rPr>
      </w:pPr>
    </w:p>
    <w:p w14:paraId="2306EB05" w14:textId="4E838F8E" w:rsidR="00A91E71" w:rsidRPr="0070768B" w:rsidRDefault="0070768B" w:rsidP="004F5B8A">
      <w:pPr>
        <w:contextualSpacing/>
        <w:jc w:val="both"/>
        <w:rPr>
          <w:rFonts w:ascii="Arial" w:hAnsi="Arial" w:cs="Arial"/>
          <w:sz w:val="23"/>
          <w:szCs w:val="23"/>
          <w:lang w:val="fr-FR"/>
        </w:rPr>
      </w:pPr>
      <w:r w:rsidRPr="0070768B">
        <w:rPr>
          <w:rFonts w:ascii="Arial" w:hAnsi="Arial" w:cs="Arial"/>
          <w:sz w:val="23"/>
          <w:szCs w:val="23"/>
          <w:lang w:val="fr-FR"/>
        </w:rPr>
        <w:t>L’Appel à manifestation d’intérêt peut aussi être envoyé par cour</w:t>
      </w:r>
      <w:r w:rsidR="008300B0">
        <w:rPr>
          <w:rFonts w:ascii="Arial" w:hAnsi="Arial" w:cs="Arial"/>
          <w:sz w:val="23"/>
          <w:szCs w:val="23"/>
          <w:lang w:val="fr-FR"/>
        </w:rPr>
        <w:t>r</w:t>
      </w:r>
      <w:r w:rsidRPr="0070768B">
        <w:rPr>
          <w:rFonts w:ascii="Arial" w:hAnsi="Arial" w:cs="Arial"/>
          <w:sz w:val="23"/>
          <w:szCs w:val="23"/>
          <w:lang w:val="fr-FR"/>
        </w:rPr>
        <w:t xml:space="preserve">ier électronique </w:t>
      </w:r>
      <w:r>
        <w:rPr>
          <w:rFonts w:ascii="Arial" w:hAnsi="Arial" w:cs="Arial"/>
          <w:sz w:val="23"/>
          <w:szCs w:val="23"/>
          <w:lang w:val="fr-FR"/>
        </w:rPr>
        <w:t>à l’adresse ci-dessous. Les candidats peuvent également obtenir des informations supplémentaires à l’adresse</w:t>
      </w:r>
      <w:r w:rsidR="008300B0">
        <w:rPr>
          <w:rFonts w:ascii="Arial" w:hAnsi="Arial" w:cs="Arial"/>
          <w:sz w:val="23"/>
          <w:szCs w:val="23"/>
          <w:lang w:val="fr-FR"/>
        </w:rPr>
        <w:t xml:space="preserve"> électronique</w:t>
      </w:r>
      <w:r>
        <w:rPr>
          <w:rFonts w:ascii="Arial" w:hAnsi="Arial" w:cs="Arial"/>
          <w:sz w:val="23"/>
          <w:szCs w:val="23"/>
          <w:lang w:val="fr-FR"/>
        </w:rPr>
        <w:t xml:space="preserve"> ci-dessous durant les heures d’ouverture, de 8h00 à 17h00 (heure de l’Afrique du Sud). </w:t>
      </w:r>
    </w:p>
    <w:p w14:paraId="5B72EE17" w14:textId="77777777" w:rsidR="00A91E71" w:rsidRPr="0070768B" w:rsidRDefault="00A91E71" w:rsidP="00E86116">
      <w:pPr>
        <w:contextualSpacing/>
        <w:rPr>
          <w:rFonts w:ascii="Arial" w:hAnsi="Arial" w:cs="Arial"/>
          <w:spacing w:val="-2"/>
          <w:sz w:val="23"/>
          <w:szCs w:val="23"/>
          <w:lang w:val="fr-FR"/>
        </w:rPr>
      </w:pPr>
    </w:p>
    <w:p w14:paraId="6324C8F0" w14:textId="4059C266" w:rsidR="00A91E71" w:rsidRPr="008300B0" w:rsidRDefault="0070768B" w:rsidP="004F5B8A">
      <w:pPr>
        <w:contextualSpacing/>
        <w:jc w:val="center"/>
        <w:rPr>
          <w:rFonts w:ascii="Arial" w:hAnsi="Arial" w:cs="Arial"/>
          <w:b/>
          <w:iCs/>
          <w:spacing w:val="-2"/>
          <w:sz w:val="23"/>
          <w:szCs w:val="23"/>
          <w:lang w:val="fr-FR"/>
        </w:rPr>
      </w:pPr>
      <w:r w:rsidRPr="008300B0">
        <w:rPr>
          <w:rFonts w:ascii="Arial" w:hAnsi="Arial" w:cs="Arial"/>
          <w:b/>
          <w:iCs/>
          <w:spacing w:val="-2"/>
          <w:sz w:val="23"/>
          <w:szCs w:val="23"/>
          <w:lang w:val="fr-FR"/>
        </w:rPr>
        <w:t xml:space="preserve">Le </w:t>
      </w:r>
      <w:r w:rsidR="008300B0" w:rsidRPr="008300B0">
        <w:rPr>
          <w:rFonts w:ascii="Arial" w:hAnsi="Arial" w:cs="Arial"/>
          <w:b/>
          <w:iCs/>
          <w:spacing w:val="-2"/>
          <w:sz w:val="23"/>
          <w:szCs w:val="23"/>
          <w:lang w:val="fr-FR"/>
        </w:rPr>
        <w:t>Président du Comité Interne des Achats</w:t>
      </w:r>
      <w:r w:rsidR="00A91E71" w:rsidRPr="008300B0">
        <w:rPr>
          <w:rFonts w:ascii="Arial" w:hAnsi="Arial" w:cs="Arial"/>
          <w:b/>
          <w:iCs/>
          <w:spacing w:val="-2"/>
          <w:sz w:val="23"/>
          <w:szCs w:val="23"/>
          <w:lang w:val="fr-FR"/>
        </w:rPr>
        <w:t xml:space="preserve"> (IPC)</w:t>
      </w:r>
    </w:p>
    <w:p w14:paraId="153D7E33" w14:textId="6B8349FC" w:rsidR="00A91E71" w:rsidRPr="000C595A" w:rsidRDefault="00A91E71" w:rsidP="004F5B8A">
      <w:pPr>
        <w:contextualSpacing/>
        <w:jc w:val="center"/>
        <w:rPr>
          <w:rFonts w:ascii="Arial" w:hAnsi="Arial" w:cs="Arial"/>
          <w:iCs/>
          <w:spacing w:val="-2"/>
          <w:sz w:val="23"/>
          <w:szCs w:val="23"/>
        </w:rPr>
      </w:pPr>
      <w:r w:rsidRPr="000C595A">
        <w:rPr>
          <w:rFonts w:ascii="Arial" w:hAnsi="Arial" w:cs="Arial"/>
          <w:iCs/>
          <w:spacing w:val="-2"/>
          <w:sz w:val="23"/>
          <w:szCs w:val="23"/>
        </w:rPr>
        <w:t>African Union Development Agency (AUDA-NEPAD)</w:t>
      </w:r>
    </w:p>
    <w:p w14:paraId="731F2A4A" w14:textId="77777777" w:rsidR="00A91E71" w:rsidRPr="000C595A" w:rsidRDefault="00A91E71" w:rsidP="004F5B8A">
      <w:pPr>
        <w:contextualSpacing/>
        <w:jc w:val="center"/>
        <w:rPr>
          <w:rFonts w:ascii="Arial" w:hAnsi="Arial" w:cs="Arial"/>
          <w:iCs/>
          <w:spacing w:val="-2"/>
          <w:sz w:val="23"/>
          <w:szCs w:val="23"/>
        </w:rPr>
      </w:pPr>
      <w:r w:rsidRPr="000C595A">
        <w:rPr>
          <w:rFonts w:ascii="Arial" w:hAnsi="Arial" w:cs="Arial"/>
          <w:iCs/>
          <w:spacing w:val="-2"/>
          <w:sz w:val="23"/>
          <w:szCs w:val="23"/>
        </w:rPr>
        <w:t>230, 15th Road, P. O. Box 218 Midrand,</w:t>
      </w:r>
    </w:p>
    <w:p w14:paraId="0DA648D4" w14:textId="77777777" w:rsidR="00A91E71" w:rsidRPr="000C595A" w:rsidRDefault="00A91E71" w:rsidP="004F5B8A">
      <w:pPr>
        <w:contextualSpacing/>
        <w:jc w:val="center"/>
        <w:rPr>
          <w:rFonts w:ascii="Arial" w:hAnsi="Arial" w:cs="Arial"/>
          <w:iCs/>
          <w:spacing w:val="-2"/>
          <w:sz w:val="23"/>
          <w:szCs w:val="23"/>
        </w:rPr>
      </w:pPr>
      <w:r w:rsidRPr="000C595A">
        <w:rPr>
          <w:rFonts w:ascii="Arial" w:hAnsi="Arial" w:cs="Arial"/>
          <w:iCs/>
          <w:spacing w:val="-2"/>
          <w:sz w:val="23"/>
          <w:szCs w:val="23"/>
        </w:rPr>
        <w:t>1685 Johannesburg, South Africa</w:t>
      </w:r>
    </w:p>
    <w:p w14:paraId="3F44AEE1" w14:textId="77777777" w:rsidR="00A91E71" w:rsidRPr="000C595A" w:rsidRDefault="00A91E71" w:rsidP="004F5B8A">
      <w:pPr>
        <w:contextualSpacing/>
        <w:jc w:val="center"/>
        <w:rPr>
          <w:rFonts w:ascii="Arial" w:hAnsi="Arial" w:cs="Arial"/>
          <w:iCs/>
          <w:spacing w:val="-2"/>
          <w:sz w:val="23"/>
          <w:szCs w:val="23"/>
        </w:rPr>
      </w:pPr>
      <w:r w:rsidRPr="000C595A">
        <w:rPr>
          <w:rFonts w:ascii="Arial" w:hAnsi="Arial" w:cs="Arial"/>
          <w:iCs/>
          <w:spacing w:val="-2"/>
          <w:sz w:val="23"/>
          <w:szCs w:val="23"/>
        </w:rPr>
        <w:t xml:space="preserve">Email: </w:t>
      </w:r>
      <w:hyperlink r:id="rId7" w:history="1">
        <w:r w:rsidRPr="000C595A">
          <w:rPr>
            <w:rStyle w:val="Hyperlink"/>
            <w:rFonts w:ascii="Arial" w:hAnsi="Arial" w:cs="Arial"/>
            <w:iCs/>
            <w:spacing w:val="-2"/>
            <w:sz w:val="23"/>
            <w:szCs w:val="23"/>
          </w:rPr>
          <w:t>bathom@nepad.org</w:t>
        </w:r>
      </w:hyperlink>
      <w:r>
        <w:rPr>
          <w:rFonts w:ascii="Arial" w:hAnsi="Arial" w:cs="Arial"/>
          <w:iCs/>
          <w:spacing w:val="-2"/>
          <w:sz w:val="23"/>
          <w:szCs w:val="23"/>
        </w:rPr>
        <w:t xml:space="preserve"> ,</w:t>
      </w:r>
      <w:r w:rsidRPr="000C595A">
        <w:rPr>
          <w:rFonts w:ascii="Arial" w:hAnsi="Arial" w:cs="Arial"/>
          <w:iCs/>
          <w:spacing w:val="-2"/>
          <w:sz w:val="23"/>
          <w:szCs w:val="23"/>
        </w:rPr>
        <w:t xml:space="preserve"> and </w:t>
      </w:r>
      <w:hyperlink r:id="rId8" w:history="1">
        <w:r w:rsidRPr="000C595A">
          <w:rPr>
            <w:rStyle w:val="Hyperlink"/>
            <w:rFonts w:ascii="Arial" w:hAnsi="Arial" w:cs="Arial"/>
            <w:iCs/>
            <w:spacing w:val="-2"/>
            <w:sz w:val="23"/>
            <w:szCs w:val="23"/>
          </w:rPr>
          <w:t>procurement@nepad.org</w:t>
        </w:r>
      </w:hyperlink>
    </w:p>
    <w:p w14:paraId="48F5BA9D" w14:textId="77777777" w:rsidR="00A91E71" w:rsidRPr="000C595A" w:rsidRDefault="00A91E71" w:rsidP="004F5B8A">
      <w:pPr>
        <w:contextualSpacing/>
        <w:jc w:val="center"/>
        <w:rPr>
          <w:rFonts w:ascii="Arial" w:hAnsi="Arial" w:cs="Arial"/>
          <w:iCs/>
          <w:spacing w:val="-2"/>
          <w:sz w:val="23"/>
          <w:szCs w:val="23"/>
        </w:rPr>
      </w:pPr>
    </w:p>
    <w:p w14:paraId="58FCF4FE" w14:textId="26BA3BF0" w:rsidR="00A91E71" w:rsidRPr="00A91E71" w:rsidRDefault="008300B0" w:rsidP="004F5B8A">
      <w:pPr>
        <w:contextualSpacing/>
        <w:jc w:val="center"/>
        <w:rPr>
          <w:rFonts w:ascii="Arial" w:hAnsi="Arial" w:cs="Arial"/>
          <w:sz w:val="23"/>
          <w:szCs w:val="23"/>
          <w:lang w:val="fr-FR"/>
        </w:rPr>
      </w:pPr>
      <w:r w:rsidRPr="008300B0">
        <w:rPr>
          <w:rFonts w:ascii="Arial" w:hAnsi="Arial" w:cs="Arial"/>
          <w:iCs/>
          <w:spacing w:val="-2"/>
          <w:sz w:val="23"/>
          <w:szCs w:val="23"/>
          <w:lang w:val="fr-FR"/>
        </w:rPr>
        <w:t>A l’a</w:t>
      </w:r>
      <w:r w:rsidR="00A91E71" w:rsidRPr="008300B0">
        <w:rPr>
          <w:rFonts w:ascii="Arial" w:hAnsi="Arial" w:cs="Arial"/>
          <w:iCs/>
          <w:spacing w:val="-2"/>
          <w:sz w:val="23"/>
          <w:szCs w:val="23"/>
          <w:lang w:val="fr-FR"/>
        </w:rPr>
        <w:t xml:space="preserve">ttention </w:t>
      </w:r>
      <w:r w:rsidRPr="008300B0">
        <w:rPr>
          <w:rFonts w:ascii="Arial" w:hAnsi="Arial" w:cs="Arial"/>
          <w:iCs/>
          <w:spacing w:val="-2"/>
          <w:sz w:val="23"/>
          <w:szCs w:val="23"/>
          <w:lang w:val="fr-FR"/>
        </w:rPr>
        <w:t>de la Division des Achats</w:t>
      </w:r>
    </w:p>
    <w:p w14:paraId="7B4F8E69" w14:textId="77777777" w:rsidR="00A91E71" w:rsidRPr="00A91E71" w:rsidRDefault="00A91E71" w:rsidP="00E86116">
      <w:pPr>
        <w:rPr>
          <w:b/>
          <w:sz w:val="28"/>
          <w:szCs w:val="28"/>
          <w:lang w:val="fr-FR"/>
        </w:rPr>
      </w:pPr>
    </w:p>
    <w:sectPr w:rsidR="00A91E71" w:rsidRPr="00A91E71" w:rsidSect="004F5B8A">
      <w:pgSz w:w="11906" w:h="16838"/>
      <w:pgMar w:top="709"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64F9B"/>
    <w:multiLevelType w:val="hybridMultilevel"/>
    <w:tmpl w:val="81DEB546"/>
    <w:lvl w:ilvl="0" w:tplc="734A6A64">
      <w:start w:val="7"/>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3266FF3"/>
    <w:multiLevelType w:val="hybridMultilevel"/>
    <w:tmpl w:val="D9FC3468"/>
    <w:lvl w:ilvl="0" w:tplc="1C09000F">
      <w:start w:val="1"/>
      <w:numFmt w:val="decimal"/>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56C15CE"/>
    <w:multiLevelType w:val="hybridMultilevel"/>
    <w:tmpl w:val="4F361FC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767305D"/>
    <w:multiLevelType w:val="hybridMultilevel"/>
    <w:tmpl w:val="3A6E10C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F3"/>
    <w:rsid w:val="000F5B15"/>
    <w:rsid w:val="00246BAA"/>
    <w:rsid w:val="002825F0"/>
    <w:rsid w:val="002A7520"/>
    <w:rsid w:val="004F5B8A"/>
    <w:rsid w:val="0050145F"/>
    <w:rsid w:val="00640AFB"/>
    <w:rsid w:val="00660DA7"/>
    <w:rsid w:val="006B4732"/>
    <w:rsid w:val="0070768B"/>
    <w:rsid w:val="007116F3"/>
    <w:rsid w:val="00743EED"/>
    <w:rsid w:val="00796F92"/>
    <w:rsid w:val="008300B0"/>
    <w:rsid w:val="00863A4A"/>
    <w:rsid w:val="008C5675"/>
    <w:rsid w:val="009116A6"/>
    <w:rsid w:val="009F4F27"/>
    <w:rsid w:val="00A66673"/>
    <w:rsid w:val="00A91E71"/>
    <w:rsid w:val="00AD133C"/>
    <w:rsid w:val="00AE39B0"/>
    <w:rsid w:val="00CD32EA"/>
    <w:rsid w:val="00D45F7B"/>
    <w:rsid w:val="00E26088"/>
    <w:rsid w:val="00E86116"/>
    <w:rsid w:val="00F75A7F"/>
    <w:rsid w:val="00FF41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3BAF5"/>
  <w15:chartTrackingRefBased/>
  <w15:docId w15:val="{2D78E407-127B-45DA-8FA0-5B40A803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F7B"/>
    <w:pPr>
      <w:ind w:left="720"/>
      <w:contextualSpacing/>
    </w:pPr>
  </w:style>
  <w:style w:type="character" w:styleId="CommentReference">
    <w:name w:val="annotation reference"/>
    <w:uiPriority w:val="99"/>
    <w:semiHidden/>
    <w:unhideWhenUsed/>
    <w:rsid w:val="00A91E71"/>
    <w:rPr>
      <w:sz w:val="16"/>
      <w:szCs w:val="16"/>
    </w:rPr>
  </w:style>
  <w:style w:type="paragraph" w:styleId="CommentText">
    <w:name w:val="annotation text"/>
    <w:basedOn w:val="Normal"/>
    <w:link w:val="CommentTextChar"/>
    <w:uiPriority w:val="99"/>
    <w:semiHidden/>
    <w:unhideWhenUsed/>
    <w:rsid w:val="00A91E71"/>
    <w:pPr>
      <w:tabs>
        <w:tab w:val="left" w:pos="284"/>
      </w:tabs>
      <w:suppressAutoHyphens/>
      <w:spacing w:after="0" w:line="240" w:lineRule="auto"/>
      <w:jc w:val="both"/>
    </w:pPr>
    <w:rPr>
      <w:rFonts w:ascii="Times New Roman" w:eastAsia="Times New Roman" w:hAnsi="Times New Roman" w:cs="Times New Roman"/>
      <w:sz w:val="20"/>
      <w:szCs w:val="20"/>
      <w:lang w:val="en-GB" w:eastAsia="ar-SA"/>
    </w:rPr>
  </w:style>
  <w:style w:type="character" w:customStyle="1" w:styleId="CommentTextChar">
    <w:name w:val="Comment Text Char"/>
    <w:basedOn w:val="DefaultParagraphFont"/>
    <w:link w:val="CommentText"/>
    <w:uiPriority w:val="99"/>
    <w:semiHidden/>
    <w:rsid w:val="00A91E71"/>
    <w:rPr>
      <w:rFonts w:ascii="Times New Roman" w:eastAsia="Times New Roman" w:hAnsi="Times New Roman" w:cs="Times New Roman"/>
      <w:sz w:val="20"/>
      <w:szCs w:val="20"/>
      <w:lang w:val="en-GB" w:eastAsia="ar-SA"/>
    </w:rPr>
  </w:style>
  <w:style w:type="character" w:styleId="Hyperlink">
    <w:name w:val="Hyperlink"/>
    <w:uiPriority w:val="99"/>
    <w:unhideWhenUsed/>
    <w:rsid w:val="00A91E71"/>
    <w:rPr>
      <w:color w:val="0000FF"/>
      <w:u w:val="single"/>
    </w:rPr>
  </w:style>
  <w:style w:type="paragraph" w:styleId="BalloonText">
    <w:name w:val="Balloon Text"/>
    <w:basedOn w:val="Normal"/>
    <w:link w:val="BalloonTextChar"/>
    <w:uiPriority w:val="99"/>
    <w:semiHidden/>
    <w:unhideWhenUsed/>
    <w:rsid w:val="00A91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E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nepad.org" TargetMode="External"/><Relationship Id="rId3" Type="http://schemas.openxmlformats.org/officeDocument/2006/relationships/settings" Target="settings.xml"/><Relationship Id="rId7" Type="http://schemas.openxmlformats.org/officeDocument/2006/relationships/hyperlink" Target="mailto:bathom@nepa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6</Pages>
  <Words>3080</Words>
  <Characters>17558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Sow Soumare</dc:creator>
  <cp:keywords/>
  <dc:description/>
  <cp:lastModifiedBy>Batho Maruping</cp:lastModifiedBy>
  <cp:revision>6</cp:revision>
  <dcterms:created xsi:type="dcterms:W3CDTF">2019-10-02T19:07:00Z</dcterms:created>
  <dcterms:modified xsi:type="dcterms:W3CDTF">2019-10-07T08:55:00Z</dcterms:modified>
</cp:coreProperties>
</file>